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7301D">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jc w:val="center"/>
        <w:textAlignment w:val="baseline"/>
        <w:rPr>
          <w:rFonts w:hint="default" w:ascii="Times New Roman" w:hAnsi="Times New Roman" w:eastAsia="方正小标宋简体" w:cs="Times New Roman"/>
          <w:b w:val="0"/>
          <w:bCs/>
          <w:color w:val="auto"/>
          <w:sz w:val="44"/>
          <w:szCs w:val="44"/>
          <w:highlight w:val="none"/>
          <w:u w:val="none"/>
          <w:lang w:eastAsia="zh-CN"/>
        </w:rPr>
      </w:pPr>
      <w:bookmarkStart w:id="0" w:name="_GoBack"/>
    </w:p>
    <w:bookmarkEnd w:id="0"/>
    <w:p w14:paraId="5DCEE2ED">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jc w:val="center"/>
        <w:textAlignment w:val="baseline"/>
        <w:rPr>
          <w:rFonts w:hint="default" w:ascii="Times New Roman" w:hAnsi="Times New Roman" w:eastAsia="方正小标宋简体" w:cs="Times New Roman"/>
          <w:b w:val="0"/>
          <w:bCs/>
          <w:color w:val="auto"/>
          <w:sz w:val="44"/>
          <w:szCs w:val="44"/>
          <w:highlight w:val="none"/>
          <w:u w:val="none"/>
        </w:rPr>
      </w:pPr>
      <w:r>
        <w:rPr>
          <w:rFonts w:hint="default" w:ascii="Times New Roman" w:hAnsi="Times New Roman" w:eastAsia="方正小标宋简体" w:cs="Times New Roman"/>
          <w:b w:val="0"/>
          <w:bCs/>
          <w:color w:val="auto"/>
          <w:sz w:val="44"/>
          <w:szCs w:val="44"/>
          <w:highlight w:val="none"/>
          <w:u w:val="none"/>
          <w:lang w:eastAsia="zh-CN"/>
        </w:rPr>
        <w:t>黄石</w:t>
      </w:r>
      <w:r>
        <w:rPr>
          <w:rFonts w:hint="default" w:ascii="Times New Roman" w:hAnsi="Times New Roman" w:eastAsia="方正小标宋简体" w:cs="Times New Roman"/>
          <w:b w:val="0"/>
          <w:bCs/>
          <w:color w:val="auto"/>
          <w:sz w:val="44"/>
          <w:szCs w:val="44"/>
          <w:highlight w:val="none"/>
          <w:u w:val="none"/>
        </w:rPr>
        <w:t>市人力资源和社会保障事业发展</w:t>
      </w:r>
    </w:p>
    <w:p w14:paraId="3CE0CFFF">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jc w:val="center"/>
        <w:textAlignment w:val="baseline"/>
        <w:rPr>
          <w:rFonts w:hint="default" w:ascii="Times New Roman" w:hAnsi="Times New Roman" w:eastAsia="方正小标宋简体" w:cs="Times New Roman"/>
          <w:b w:val="0"/>
          <w:bCs/>
          <w:color w:val="auto"/>
          <w:sz w:val="44"/>
          <w:szCs w:val="44"/>
          <w:highlight w:val="none"/>
          <w:u w:val="none"/>
          <w:lang w:eastAsia="zh-CN"/>
        </w:rPr>
      </w:pPr>
      <w:r>
        <w:rPr>
          <w:rFonts w:hint="default" w:ascii="Times New Roman" w:hAnsi="Times New Roman" w:eastAsia="方正小标宋简体" w:cs="Times New Roman"/>
          <w:b w:val="0"/>
          <w:bCs/>
          <w:color w:val="auto"/>
          <w:sz w:val="44"/>
          <w:szCs w:val="44"/>
          <w:highlight w:val="none"/>
          <w:u w:val="none"/>
        </w:rPr>
        <w:t>“十五五”规划</w:t>
      </w:r>
    </w:p>
    <w:p w14:paraId="1FBCD6B8">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left="0" w:leftChars="0" w:right="0" w:rightChars="0" w:firstLine="0" w:firstLineChars="0"/>
        <w:jc w:val="center"/>
        <w:textAlignment w:val="baseline"/>
        <w:rPr>
          <w:rFonts w:hint="default" w:ascii="Times New Roman" w:hAnsi="Times New Roman" w:eastAsia="楷体_GB2312" w:cs="Times New Roman"/>
          <w:b w:val="0"/>
          <w:bCs/>
          <w:color w:val="auto"/>
          <w:sz w:val="32"/>
          <w:szCs w:val="32"/>
          <w:highlight w:val="none"/>
          <w:u w:val="none"/>
          <w:lang w:val="en-US" w:eastAsia="zh-CN"/>
        </w:rPr>
      </w:pPr>
      <w:r>
        <w:rPr>
          <w:rFonts w:hint="default" w:ascii="Times New Roman" w:hAnsi="Times New Roman" w:eastAsia="楷体_GB2312" w:cs="Times New Roman"/>
          <w:b w:val="0"/>
          <w:bCs/>
          <w:color w:val="auto"/>
          <w:sz w:val="32"/>
          <w:szCs w:val="32"/>
          <w:highlight w:val="none"/>
          <w:u w:val="none"/>
          <w:lang w:val="en-US" w:eastAsia="zh-CN"/>
        </w:rPr>
        <w:t>（</w:t>
      </w:r>
      <w:r>
        <w:rPr>
          <w:rFonts w:hint="eastAsia" w:ascii="Times New Roman" w:hAnsi="Times New Roman" w:eastAsia="楷体_GB2312" w:cs="Times New Roman"/>
          <w:b w:val="0"/>
          <w:bCs/>
          <w:color w:val="auto"/>
          <w:sz w:val="32"/>
          <w:szCs w:val="32"/>
          <w:highlight w:val="none"/>
          <w:u w:val="none"/>
          <w:lang w:val="en-US" w:eastAsia="zh-CN"/>
        </w:rPr>
        <w:t>征求意见稿，</w:t>
      </w:r>
      <w:r>
        <w:rPr>
          <w:rFonts w:hint="default" w:ascii="Times New Roman" w:hAnsi="Times New Roman" w:eastAsia="楷体_GB2312" w:cs="Times New Roman"/>
          <w:b w:val="0"/>
          <w:bCs/>
          <w:color w:val="auto"/>
          <w:sz w:val="32"/>
          <w:szCs w:val="32"/>
          <w:highlight w:val="none"/>
          <w:u w:val="none"/>
          <w:lang w:val="en-US" w:eastAsia="zh-CN"/>
        </w:rPr>
        <w:t>2026年</w:t>
      </w:r>
      <w:r>
        <w:rPr>
          <w:rFonts w:hint="eastAsia" w:ascii="Times New Roman" w:hAnsi="Times New Roman" w:eastAsia="楷体_GB2312" w:cs="Times New Roman"/>
          <w:b w:val="0"/>
          <w:bCs/>
          <w:color w:val="auto"/>
          <w:sz w:val="32"/>
          <w:szCs w:val="32"/>
          <w:highlight w:val="none"/>
          <w:u w:val="none"/>
          <w:lang w:val="en-US" w:eastAsia="zh-CN"/>
        </w:rPr>
        <w:t>8</w:t>
      </w:r>
      <w:r>
        <w:rPr>
          <w:rFonts w:hint="default" w:ascii="Times New Roman" w:hAnsi="Times New Roman" w:eastAsia="楷体_GB2312" w:cs="Times New Roman"/>
          <w:b w:val="0"/>
          <w:bCs/>
          <w:color w:val="auto"/>
          <w:sz w:val="32"/>
          <w:szCs w:val="32"/>
          <w:highlight w:val="none"/>
          <w:u w:val="none"/>
          <w:lang w:val="en-US" w:eastAsia="zh-CN"/>
        </w:rPr>
        <w:t>月）</w:t>
      </w:r>
    </w:p>
    <w:p w14:paraId="59AB49B7">
      <w:pPr>
        <w:pStyle w:val="2"/>
        <w:keepNext w:val="0"/>
        <w:keepLines w:val="0"/>
        <w:pageBreakBefore w:val="0"/>
        <w:widowControl w:val="0"/>
        <w:kinsoku/>
        <w:wordWrap/>
        <w:overflowPunct w:val="0"/>
        <w:topLinePunct w:val="0"/>
        <w:autoSpaceDE/>
        <w:autoSpaceDN/>
        <w:bidi w:val="0"/>
        <w:adjustRightInd w:val="0"/>
        <w:snapToGrid w:val="0"/>
        <w:spacing w:after="0" w:line="578" w:lineRule="exact"/>
        <w:ind w:left="0" w:leftChars="0" w:right="0" w:rightChars="0" w:firstLine="0" w:firstLineChars="0"/>
        <w:jc w:val="both"/>
        <w:textAlignment w:val="baseline"/>
        <w:rPr>
          <w:rFonts w:hint="default" w:ascii="Times New Roman" w:hAnsi="Times New Roman" w:eastAsia="楷体_GB2312" w:cs="Times New Roman"/>
          <w:color w:val="auto"/>
          <w:sz w:val="32"/>
          <w:highlight w:val="none"/>
          <w:lang w:val="en-US" w:eastAsia="zh-CN"/>
        </w:rPr>
      </w:pPr>
    </w:p>
    <w:p w14:paraId="7E191BD1">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left="0" w:leftChars="0" w:firstLine="640" w:firstLineChars="200"/>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依据《湖北省人力资源和社会保障事业发展“十五五”规划》</w:t>
      </w:r>
      <w:r>
        <w:rPr>
          <w:rFonts w:hint="eastAsia" w:ascii="Times New Roman" w:hAnsi="Times New Roman" w:eastAsia="仿宋_GB2312" w:cs="Times New Roman"/>
          <w:color w:val="auto"/>
          <w:sz w:val="32"/>
          <w:szCs w:val="32"/>
          <w:highlight w:val="none"/>
          <w:u w:val="none"/>
          <w:lang w:val="en-US" w:eastAsia="zh-CN"/>
        </w:rPr>
        <w:t>和</w:t>
      </w:r>
      <w:r>
        <w:rPr>
          <w:rFonts w:hint="default" w:ascii="Times New Roman" w:hAnsi="Times New Roman" w:eastAsia="仿宋_GB2312" w:cs="Times New Roman"/>
          <w:color w:val="auto"/>
          <w:sz w:val="32"/>
          <w:szCs w:val="32"/>
          <w:highlight w:val="none"/>
          <w:u w:val="none"/>
          <w:lang w:val="en-US" w:eastAsia="zh-CN"/>
        </w:rPr>
        <w:t>《黄石市国民经济和社会发展第十五个五年规划纲要》，制定本规划。</w:t>
      </w:r>
    </w:p>
    <w:p w14:paraId="09F74AED">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left="0" w:leftChars="0" w:firstLine="640" w:firstLineChars="200"/>
        <w:textAlignment w:val="baseline"/>
        <w:rPr>
          <w:rFonts w:hint="default" w:ascii="Times New Roman" w:hAnsi="Times New Roman" w:eastAsia="黑体" w:cs="Times New Roman"/>
          <w:color w:val="auto"/>
          <w:sz w:val="32"/>
          <w:szCs w:val="32"/>
          <w:highlight w:val="none"/>
          <w:u w:val="none"/>
          <w:lang w:val="en-US" w:eastAsia="zh-CN"/>
        </w:rPr>
      </w:pPr>
      <w:r>
        <w:rPr>
          <w:rFonts w:hint="default" w:ascii="Times New Roman" w:hAnsi="Times New Roman" w:eastAsia="黑体" w:cs="Times New Roman"/>
          <w:color w:val="auto"/>
          <w:sz w:val="32"/>
          <w:szCs w:val="32"/>
          <w:highlight w:val="none"/>
          <w:u w:val="none"/>
          <w:lang w:val="en-US" w:eastAsia="zh-CN"/>
        </w:rPr>
        <w:t>一、指导思想和主要目标</w:t>
      </w:r>
    </w:p>
    <w:p w14:paraId="42E4C464">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jc w:val="both"/>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（一）发展基础</w:t>
      </w:r>
    </w:p>
    <w:p w14:paraId="33574FE0">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left="0" w:leftChars="0" w:firstLine="640" w:firstLineChars="200"/>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十四五”时期，是黄石人社事业迈出坚实步伐、进入高质量发展阶段的五年。面对错综复杂的宏观环境和艰巨繁重的改革发展稳定任务，全市人社系统坚持以习近平新时代中国特色社会主义思想为指导，认真贯彻党中央、国务院决策部署和省委省政府、市委市政府工作要求，围绕中心、服务大局，圆满完成了各项目标任务。新增高校毕业生就业创业、职业技能培训人数、发放创贷等指标实现翻倍增长，就业综合指数连续五年全省第一，高技能人才占比全省第一，牢牢稳住就业基本盘；根本性解决了企业职工基本养老保险基金历史性缺口；农民工工资支付考核连续5年全省A级。全国就业推进会在黄召开，相关工作获党中央、国务院表彰，先后荣获全国和谐劳动关系创建先进集体、全国根治欠薪先进集体、湖北改革奖、全省人民满意的公务员集体等称号。就业创业规模不断扩大、社会保障体系更加健全、人才队伍活力持续迸发、人事治理效能显著提升、工资收入分配改革不断深化、劳动关系更加和谐、公共服务能力不断增强，为“十五五”时期人社事业高质量发展奠定了坚实基础。</w:t>
      </w:r>
    </w:p>
    <w:p w14:paraId="16DDC6E4">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jc w:val="both"/>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十五五”时期是全省支点建设聚力突破、全面提升的重要阶段，也是黄石推动武汉都市圈重要增长极建设积厚成势、全面跃升的重要战略机遇期。百年未有之大变局加速演进，产业能级跃升与区域战略叠加，为高质量就业扩容新空间；人才强市战略系统推进，为发展新质生产力注入核心动能；数字技术深度融合应用，为人社服务与治理模式现代化充分赋能。同时，产业转型带来新的结构性矛盾，劳动力技能适配面临较大压力；人口结构深刻变化，对社保可持续性与就业市场构成双重挤压；新就业形态规模扩张，传统权益保障与服务模式亟待重构等新问题也随之产生。面对发展的机遇和挑战，要顺应时代发展</w:t>
      </w:r>
      <w:r>
        <w:rPr>
          <w:rFonts w:hint="eastAsia" w:ascii="Times New Roman" w:hAnsi="Times New Roman" w:eastAsia="仿宋_GB2312" w:cs="Times New Roman"/>
          <w:b w:val="0"/>
          <w:bCs w:val="0"/>
          <w:color w:val="auto"/>
          <w:sz w:val="32"/>
          <w:szCs w:val="32"/>
          <w:highlight w:val="none"/>
          <w:u w:val="none"/>
          <w:lang w:val="en-US" w:eastAsia="zh-CN"/>
        </w:rPr>
        <w:t>新</w:t>
      </w:r>
      <w:r>
        <w:rPr>
          <w:rFonts w:hint="default" w:ascii="Times New Roman" w:hAnsi="Times New Roman" w:eastAsia="仿宋_GB2312" w:cs="Times New Roman"/>
          <w:b w:val="0"/>
          <w:bCs w:val="0"/>
          <w:color w:val="auto"/>
          <w:sz w:val="32"/>
          <w:szCs w:val="32"/>
          <w:highlight w:val="none"/>
          <w:u w:val="none"/>
          <w:lang w:val="en-US" w:eastAsia="zh-CN"/>
        </w:rPr>
        <w:t>要求，坚持“投资于物与投资于人相结合”，加快塑造现代化人力资源，加大保障和改善民生力度，推动人的全面发展和经济社会高质量发展良性互动。</w:t>
      </w:r>
    </w:p>
    <w:p w14:paraId="5E6A5BED">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jc w:val="both"/>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（二）总体要求</w:t>
      </w:r>
    </w:p>
    <w:p w14:paraId="7A757EEA">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jc w:val="both"/>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坚持以习近平新时代中国特色社会主义思想为指导，深入贯彻党的二十大和二十届历次全会精神，全面落实省委省政府、市委市政府工作要求，坚持稳中求进总基调，坚持以经济建设为中心、以推动高质量发展为主题，以改革创新为主线，以满足人民日益增长的美好生活需要为根本目的，以全面从严治党为根本保障，对标全省支点建设“七大战略”，深入推进“六个聚焦聚力、六个加快建成”，以“投资于人”为核心，推动就业和用工配置的效率变革、民生保障和改善的质量变革、人才支撑高质量发展的动力变革、劳动关系现代治理的集成变革，推动人社服务与新质生产力发展、区域协同发展相适配，助力黄石加快建成武汉都市圈重要增长极、巩固提升长江中下游城市群区域性中心城市地位，为城市能级跃升筑牢民生与人才根基。</w:t>
      </w:r>
    </w:p>
    <w:p w14:paraId="12DA0709">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jc w:val="both"/>
        <w:textAlignment w:val="baseline"/>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（三）主要目标</w:t>
      </w:r>
    </w:p>
    <w:p w14:paraId="175C7751">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jc w:val="both"/>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rPr>
        <w:t>锚定高质量充分就业、高水平创新创业、高素质人才集聚、高品质社会保障、高协同治理提升“五高”目标，探索实施“五城战略”，奋力打造黄石民生领域的幸福标杆。</w:t>
      </w:r>
    </w:p>
    <w:p w14:paraId="5D5EAEC7">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lang w:val="en-US" w:eastAsia="zh-CN"/>
        </w:rPr>
        <w:t>——聚焦高质量充分就业，争创高质量充分就业示范城市。</w:t>
      </w:r>
      <w:r>
        <w:rPr>
          <w:rFonts w:hint="default" w:ascii="Times New Roman" w:hAnsi="Times New Roman" w:eastAsia="仿宋_GB2312" w:cs="Times New Roman"/>
          <w:b w:val="0"/>
          <w:bCs w:val="0"/>
          <w:color w:val="auto"/>
          <w:sz w:val="32"/>
          <w:szCs w:val="32"/>
          <w:highlight w:val="none"/>
          <w:u w:val="none"/>
          <w:lang w:val="en-US" w:eastAsia="zh-CN"/>
        </w:rPr>
        <w:t>坚持就业优先战略，紧扣产业升级需求，构建“就业长在产业上、培训跟着就业走”协同机制，不断健全公共就业服务体系，推动就业供需精准匹配，促进形成就业机会充分、就业环境公平、就业结构优化、人岗匹配高效、劳动关系和谐的局面，构建就业友好型发展方式。</w:t>
      </w:r>
    </w:p>
    <w:p w14:paraId="00300BEF">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——聚焦高水平创新创业，持续擦亮全国创业先进城市。</w:t>
      </w:r>
      <w:r>
        <w:rPr>
          <w:rFonts w:hint="default" w:ascii="Times New Roman" w:hAnsi="Times New Roman" w:eastAsia="仿宋_GB2312" w:cs="Times New Roman"/>
          <w:color w:val="auto"/>
          <w:kern w:val="2"/>
          <w:sz w:val="32"/>
          <w:szCs w:val="32"/>
          <w:highlight w:val="none"/>
          <w:u w:val="none"/>
          <w:lang w:val="en-US" w:eastAsia="zh-CN" w:bidi="ar-SA"/>
        </w:rPr>
        <w:t>创新开展“千店万户”就业创业扶持计划，强化创业全要素供给，持续加大创业资金保障，加强创业导师队伍建设，加快打造县乡村三级返乡创业服务网络，推行“创业培训+项目孵化+资源对接”全周期扶持，积极构建“热带雨林”式创新创业生态</w:t>
      </w:r>
      <w:r>
        <w:rPr>
          <w:rFonts w:hint="default" w:ascii="Times New Roman" w:hAnsi="Times New Roman" w:eastAsia="仿宋_GB2312" w:cs="Times New Roman"/>
          <w:color w:val="auto"/>
          <w:sz w:val="32"/>
          <w:szCs w:val="32"/>
          <w:highlight w:val="none"/>
          <w:u w:val="none"/>
        </w:rPr>
        <w:t>。</w:t>
      </w:r>
    </w:p>
    <w:p w14:paraId="05F65591">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——聚焦高素质人才集聚，打造区域性人才中心城市。</w:t>
      </w:r>
      <w:r>
        <w:rPr>
          <w:rFonts w:hint="default" w:ascii="Times New Roman" w:hAnsi="Times New Roman" w:eastAsia="仿宋_GB2312" w:cs="Times New Roman"/>
          <w:b w:val="0"/>
          <w:bCs w:val="0"/>
          <w:color w:val="auto"/>
          <w:sz w:val="32"/>
          <w:szCs w:val="32"/>
          <w:highlight w:val="none"/>
          <w:u w:val="none"/>
          <w:lang w:val="en-US" w:eastAsia="zh-CN"/>
        </w:rPr>
        <w:t>依托 “1+1+N”人才政策体系，将人才工作与人口发展、产业规划和区域协同紧密结合，积极创建人才友好型城市。</w:t>
      </w:r>
      <w:r>
        <w:rPr>
          <w:rFonts w:hint="default" w:ascii="Times New Roman" w:hAnsi="Times New Roman" w:eastAsia="仿宋_GB2312" w:cs="Times New Roman"/>
          <w:b w:val="0"/>
          <w:bCs w:val="0"/>
          <w:color w:val="auto"/>
          <w:sz w:val="32"/>
          <w:szCs w:val="32"/>
          <w:highlight w:val="none"/>
          <w:u w:val="none"/>
          <w:shd w:val="clear" w:color="auto" w:fill="auto"/>
          <w:lang w:val="en-US" w:eastAsia="zh-CN"/>
        </w:rPr>
        <w:t>健全终身职业技能培训制度，深化新时代工匠体系建设</w:t>
      </w:r>
      <w:r>
        <w:rPr>
          <w:rFonts w:hint="default" w:ascii="Times New Roman" w:hAnsi="Times New Roman" w:eastAsia="仿宋_GB2312" w:cs="Times New Roman"/>
          <w:b w:val="0"/>
          <w:bCs w:val="0"/>
          <w:color w:val="auto"/>
          <w:sz w:val="32"/>
          <w:szCs w:val="32"/>
          <w:highlight w:val="none"/>
          <w:u w:val="none"/>
          <w:lang w:val="en-US" w:eastAsia="zh-CN"/>
        </w:rPr>
        <w:t>。构建 “塔尖引领、塔身坚实、塔基稳固”的人才梯队，全面提升人才规模、质量和结构水平，助力黄石建成全省具有重要影响力的产业人才高地。</w:t>
      </w:r>
    </w:p>
    <w:p w14:paraId="23CB8E63">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——聚焦高品质社会保障，打造全生命周期社保适老化服务型城市。</w:t>
      </w:r>
      <w:r>
        <w:rPr>
          <w:rFonts w:hint="default" w:ascii="Times New Roman" w:hAnsi="Times New Roman" w:eastAsia="仿宋_GB2312" w:cs="Times New Roman"/>
          <w:b w:val="0"/>
          <w:bCs w:val="0"/>
          <w:color w:val="auto"/>
          <w:sz w:val="32"/>
          <w:szCs w:val="32"/>
          <w:highlight w:val="none"/>
          <w:u w:val="none"/>
          <w:lang w:val="en-US" w:eastAsia="zh-CN"/>
        </w:rPr>
        <w:t>深化社保服务与养老服务协同联动，</w:t>
      </w:r>
      <w:r>
        <w:rPr>
          <w:rFonts w:hint="default" w:ascii="Times New Roman" w:hAnsi="Times New Roman" w:eastAsia="仿宋_GB2312" w:cs="Times New Roman"/>
          <w:b w:val="0"/>
          <w:bCs w:val="0"/>
          <w:color w:val="auto"/>
          <w:sz w:val="32"/>
          <w:szCs w:val="32"/>
          <w:highlight w:val="none"/>
          <w:u w:val="none"/>
          <w:lang w:eastAsia="zh-CN"/>
        </w:rPr>
        <w:t>加强基层服务网点建设，</w:t>
      </w:r>
      <w:r>
        <w:rPr>
          <w:rFonts w:hint="default" w:ascii="Times New Roman" w:hAnsi="Times New Roman" w:eastAsia="仿宋_GB2312" w:cs="Times New Roman"/>
          <w:b w:val="0"/>
          <w:bCs w:val="0"/>
          <w:color w:val="auto"/>
          <w:sz w:val="32"/>
          <w:szCs w:val="32"/>
          <w:highlight w:val="none"/>
          <w:u w:val="none"/>
          <w:lang w:val="en-US" w:eastAsia="zh-CN"/>
        </w:rPr>
        <w:t>探索多险合一经办服务模式，</w:t>
      </w:r>
      <w:r>
        <w:rPr>
          <w:rFonts w:hint="default" w:ascii="Times New Roman" w:hAnsi="Times New Roman" w:eastAsia="仿宋_GB2312" w:cs="Times New Roman"/>
          <w:b w:val="0"/>
          <w:bCs w:val="0"/>
          <w:color w:val="auto"/>
          <w:sz w:val="32"/>
          <w:szCs w:val="32"/>
          <w:highlight w:val="none"/>
          <w:u w:val="none"/>
        </w:rPr>
        <w:t>拓展</w:t>
      </w:r>
      <w:r>
        <w:rPr>
          <w:rFonts w:hint="default" w:ascii="Times New Roman" w:hAnsi="Times New Roman" w:eastAsia="仿宋_GB2312" w:cs="Times New Roman"/>
          <w:b w:val="0"/>
          <w:bCs w:val="0"/>
          <w:color w:val="auto"/>
          <w:sz w:val="32"/>
          <w:szCs w:val="32"/>
          <w:highlight w:val="none"/>
          <w:u w:val="none"/>
          <w:lang w:val="en-US" w:eastAsia="zh-CN"/>
        </w:rPr>
        <w:t>社保领域</w:t>
      </w:r>
      <w:r>
        <w:rPr>
          <w:rFonts w:hint="default" w:ascii="Times New Roman" w:hAnsi="Times New Roman" w:eastAsia="仿宋_GB2312" w:cs="Times New Roman"/>
          <w:b w:val="0"/>
          <w:bCs w:val="0"/>
          <w:color w:val="auto"/>
          <w:sz w:val="32"/>
          <w:szCs w:val="32"/>
          <w:highlight w:val="none"/>
          <w:u w:val="none"/>
        </w:rPr>
        <w:t>“预服务”范围</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val="en-US" w:eastAsia="zh-CN"/>
        </w:rPr>
        <w:t>加快推进社保服务数智化转型，建设全险种全链条智慧服务应用</w:t>
      </w:r>
      <w:r>
        <w:rPr>
          <w:rFonts w:hint="default" w:ascii="Times New Roman" w:hAnsi="Times New Roman" w:eastAsia="仿宋_GB2312" w:cs="Times New Roman"/>
          <w:b w:val="0"/>
          <w:bCs w:val="0"/>
          <w:color w:val="auto"/>
          <w:sz w:val="32"/>
          <w:szCs w:val="32"/>
          <w:highlight w:val="none"/>
          <w:u w:val="none"/>
        </w:rPr>
        <w:t>场景，</w:t>
      </w:r>
      <w:r>
        <w:rPr>
          <w:rFonts w:hint="default" w:ascii="Times New Roman" w:hAnsi="Times New Roman" w:eastAsia="仿宋_GB2312" w:cs="Times New Roman"/>
          <w:b w:val="0"/>
          <w:bCs w:val="0"/>
          <w:color w:val="auto"/>
          <w:sz w:val="32"/>
          <w:szCs w:val="32"/>
          <w:highlight w:val="none"/>
          <w:u w:val="none"/>
          <w:lang w:val="en-US" w:eastAsia="zh-CN"/>
        </w:rPr>
        <w:t>着力</w:t>
      </w:r>
      <w:r>
        <w:rPr>
          <w:rFonts w:hint="default" w:ascii="Times New Roman" w:hAnsi="Times New Roman" w:eastAsia="仿宋_GB2312" w:cs="Times New Roman"/>
          <w:b w:val="0"/>
          <w:bCs w:val="0"/>
          <w:color w:val="auto"/>
          <w:sz w:val="32"/>
          <w:szCs w:val="32"/>
          <w:highlight w:val="none"/>
          <w:u w:val="none"/>
        </w:rPr>
        <w:t>构建</w:t>
      </w:r>
      <w:r>
        <w:rPr>
          <w:rFonts w:hint="default" w:ascii="Times New Roman" w:hAnsi="Times New Roman" w:eastAsia="仿宋_GB2312" w:cs="Times New Roman"/>
          <w:b w:val="0"/>
          <w:bCs w:val="0"/>
          <w:color w:val="auto"/>
          <w:sz w:val="32"/>
          <w:szCs w:val="32"/>
          <w:highlight w:val="none"/>
          <w:u w:val="none"/>
          <w:lang w:eastAsia="zh-CN"/>
        </w:rPr>
        <w:t>覆盖</w:t>
      </w:r>
      <w:r>
        <w:rPr>
          <w:rFonts w:hint="default" w:ascii="Times New Roman" w:hAnsi="Times New Roman" w:eastAsia="仿宋_GB2312" w:cs="Times New Roman"/>
          <w:b w:val="0"/>
          <w:bCs w:val="0"/>
          <w:color w:val="auto"/>
          <w:sz w:val="32"/>
          <w:szCs w:val="32"/>
          <w:highlight w:val="none"/>
          <w:u w:val="none"/>
        </w:rPr>
        <w:t>全生命周期</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rPr>
        <w:t>线上线下无缝衔接的社保</w:t>
      </w:r>
      <w:r>
        <w:rPr>
          <w:rFonts w:hint="default" w:ascii="Times New Roman" w:hAnsi="Times New Roman" w:eastAsia="仿宋_GB2312" w:cs="Times New Roman"/>
          <w:b w:val="0"/>
          <w:bCs w:val="0"/>
          <w:color w:val="auto"/>
          <w:sz w:val="32"/>
          <w:szCs w:val="32"/>
          <w:highlight w:val="none"/>
          <w:u w:val="none"/>
          <w:lang w:eastAsia="zh-CN"/>
        </w:rPr>
        <w:t>适老化</w:t>
      </w:r>
      <w:r>
        <w:rPr>
          <w:rFonts w:hint="default" w:ascii="Times New Roman" w:hAnsi="Times New Roman" w:eastAsia="仿宋_GB2312" w:cs="Times New Roman"/>
          <w:b w:val="0"/>
          <w:bCs w:val="0"/>
          <w:color w:val="auto"/>
          <w:sz w:val="32"/>
          <w:szCs w:val="32"/>
          <w:highlight w:val="none"/>
          <w:u w:val="none"/>
        </w:rPr>
        <w:t>服务</w:t>
      </w:r>
      <w:r>
        <w:rPr>
          <w:rFonts w:hint="default" w:ascii="Times New Roman" w:hAnsi="Times New Roman" w:eastAsia="仿宋_GB2312" w:cs="Times New Roman"/>
          <w:b w:val="0"/>
          <w:bCs w:val="0"/>
          <w:color w:val="auto"/>
          <w:sz w:val="32"/>
          <w:szCs w:val="32"/>
          <w:highlight w:val="none"/>
          <w:u w:val="none"/>
          <w:lang w:eastAsia="zh-CN"/>
        </w:rPr>
        <w:t>体系，</w:t>
      </w:r>
      <w:r>
        <w:rPr>
          <w:rFonts w:hint="default" w:ascii="Times New Roman" w:hAnsi="Times New Roman" w:eastAsia="仿宋_GB2312" w:cs="Times New Roman"/>
          <w:b w:val="0"/>
          <w:bCs w:val="0"/>
          <w:color w:val="auto"/>
          <w:sz w:val="32"/>
          <w:szCs w:val="32"/>
          <w:highlight w:val="none"/>
          <w:u w:val="none"/>
          <w:lang w:val="en-US" w:eastAsia="zh-CN"/>
        </w:rPr>
        <w:t>推动</w:t>
      </w:r>
      <w:r>
        <w:rPr>
          <w:rFonts w:hint="default" w:ascii="Times New Roman" w:hAnsi="Times New Roman" w:eastAsia="仿宋_GB2312" w:cs="Times New Roman"/>
          <w:color w:val="auto"/>
          <w:sz w:val="32"/>
          <w:szCs w:val="32"/>
          <w:highlight w:val="none"/>
          <w:u w:val="none"/>
        </w:rPr>
        <w:t>职业伤害保障覆盖范围进一步扩大</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社保统筹层次和待遇水平进一步提高</w:t>
      </w:r>
      <w:r>
        <w:rPr>
          <w:rFonts w:hint="default" w:ascii="Times New Roman" w:hAnsi="Times New Roman" w:eastAsia="仿宋_GB2312" w:cs="Times New Roman"/>
          <w:color w:val="auto"/>
          <w:sz w:val="32"/>
          <w:szCs w:val="32"/>
          <w:highlight w:val="none"/>
          <w:u w:val="none"/>
          <w:lang w:eastAsia="zh-CN"/>
        </w:rPr>
        <w:t>。</w:t>
      </w:r>
    </w:p>
    <w:p w14:paraId="1CD3704B">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——聚焦高协同治理提升，创建和谐劳动关系示范城市。</w:t>
      </w:r>
      <w:r>
        <w:rPr>
          <w:rFonts w:hint="default" w:ascii="Times New Roman" w:hAnsi="Times New Roman" w:eastAsia="仿宋_GB2312" w:cs="Times New Roman"/>
          <w:b w:val="0"/>
          <w:bCs w:val="0"/>
          <w:color w:val="auto"/>
          <w:sz w:val="32"/>
          <w:szCs w:val="32"/>
          <w:highlight w:val="none"/>
          <w:u w:val="none"/>
          <w:lang w:val="en-US" w:eastAsia="zh-CN"/>
        </w:rPr>
        <w:t>健全协调劳动关系三方机制，推进基层劳动关系公共服务平台标准化建设，提升劳动关系治理效能。</w:t>
      </w:r>
      <w:r>
        <w:rPr>
          <w:rFonts w:hint="default" w:ascii="Times New Roman" w:hAnsi="Times New Roman" w:eastAsia="仿宋_GB2312" w:cs="Times New Roman"/>
          <w:color w:val="auto"/>
          <w:sz w:val="32"/>
          <w:szCs w:val="32"/>
          <w:highlight w:val="none"/>
          <w:u w:val="none"/>
          <w:lang w:val="en-US" w:eastAsia="zh-CN"/>
        </w:rPr>
        <w:t>依托跨部门数据共享与智能分析，</w:t>
      </w:r>
      <w:r>
        <w:rPr>
          <w:rFonts w:hint="default" w:ascii="Times New Roman" w:hAnsi="Times New Roman" w:eastAsia="仿宋_GB2312" w:cs="Times New Roman"/>
          <w:b w:val="0"/>
          <w:bCs w:val="0"/>
          <w:color w:val="auto"/>
          <w:sz w:val="32"/>
          <w:szCs w:val="32"/>
          <w:highlight w:val="none"/>
          <w:u w:val="none"/>
          <w:lang w:val="en-US" w:eastAsia="zh-CN"/>
        </w:rPr>
        <w:t>推动劳动保障监察由“被动响应式执法</w:t>
      </w:r>
      <w:r>
        <w:rPr>
          <w:rFonts w:hint="default" w:ascii="Times New Roman" w:hAnsi="Times New Roman" w:eastAsia="仿宋_GB2312" w:cs="Times New Roman"/>
          <w:color w:val="auto"/>
          <w:sz w:val="32"/>
          <w:szCs w:val="32"/>
          <w:highlight w:val="none"/>
          <w:u w:val="none"/>
          <w:lang w:val="en-US" w:eastAsia="zh-CN"/>
        </w:rPr>
        <w:t>”向“主动预防式治理”全面转型</w:t>
      </w:r>
      <w:r>
        <w:rPr>
          <w:rFonts w:hint="default" w:ascii="Times New Roman" w:hAnsi="Times New Roman" w:eastAsia="仿宋_GB2312" w:cs="Times New Roman"/>
          <w:b w:val="0"/>
          <w:bCs w:val="0"/>
          <w:color w:val="auto"/>
          <w:sz w:val="32"/>
          <w:szCs w:val="32"/>
          <w:highlight w:val="none"/>
          <w:u w:val="none"/>
          <w:lang w:val="en-US" w:eastAsia="zh-CN"/>
        </w:rPr>
        <w:t>。优化劳动争议“一站式”调处机制，加强新就业形态劳动者权益保障。</w:t>
      </w:r>
    </w:p>
    <w:p w14:paraId="677A2CE2">
      <w:pPr>
        <w:pStyle w:val="2"/>
        <w:rPr>
          <w:rFonts w:hint="default"/>
          <w:lang w:val="en-US" w:eastAsia="zh-CN"/>
        </w:rPr>
      </w:pPr>
    </w:p>
    <w:tbl>
      <w:tblPr>
        <w:tblStyle w:val="14"/>
        <w:tblW w:w="8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57" w:type="dxa"/>
          <w:bottom w:w="0" w:type="dxa"/>
          <w:right w:w="57" w:type="dxa"/>
        </w:tblCellMar>
      </w:tblPr>
      <w:tblGrid>
        <w:gridCol w:w="5948"/>
        <w:gridCol w:w="1129"/>
        <w:gridCol w:w="1730"/>
      </w:tblGrid>
      <w:tr w14:paraId="5F54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8807" w:type="dxa"/>
            <w:gridSpan w:val="3"/>
            <w:shd w:val="clear" w:color="auto" w:fill="D7D7D7" w:themeFill="background1" w:themeFillShade="D8"/>
            <w:noWrap w:val="0"/>
            <w:vAlign w:val="center"/>
          </w:tcPr>
          <w:p w14:paraId="233EF0F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6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sz w:val="28"/>
                <w:szCs w:val="28"/>
                <w:highlight w:val="none"/>
                <w:u w:val="none"/>
                <w:lang w:val="en-US" w:eastAsia="zh-CN"/>
              </w:rPr>
              <w:t>专栏</w:t>
            </w:r>
            <w:r>
              <w:rPr>
                <w:rFonts w:hint="eastAsia" w:ascii="Times New Roman" w:hAnsi="Times New Roman" w:eastAsia="黑体" w:cs="Times New Roman"/>
                <w:color w:val="auto"/>
                <w:sz w:val="28"/>
                <w:szCs w:val="28"/>
                <w:highlight w:val="none"/>
                <w:u w:val="none"/>
                <w:lang w:val="en-US" w:eastAsia="zh-CN"/>
              </w:rPr>
              <w:t>1</w:t>
            </w:r>
            <w:r>
              <w:rPr>
                <w:rFonts w:hint="default" w:ascii="Times New Roman" w:hAnsi="Times New Roman" w:eastAsia="黑体" w:cs="Times New Roman"/>
                <w:color w:val="auto"/>
                <w:sz w:val="28"/>
                <w:szCs w:val="28"/>
                <w:highlight w:val="none"/>
                <w:u w:val="none"/>
                <w:lang w:val="en-US" w:eastAsia="zh-CN"/>
              </w:rPr>
              <w:t xml:space="preserve"> </w:t>
            </w:r>
            <w:r>
              <w:rPr>
                <w:rFonts w:hint="default" w:ascii="Times New Roman" w:hAnsi="Times New Roman" w:eastAsia="黑体" w:cs="Times New Roman"/>
                <w:color w:val="auto"/>
                <w:kern w:val="2"/>
                <w:sz w:val="28"/>
                <w:szCs w:val="28"/>
                <w:highlight w:val="none"/>
                <w:u w:val="none"/>
                <w:vertAlign w:val="baseline"/>
                <w:lang w:val="en-US" w:eastAsia="zh-CN" w:bidi="ar-SA"/>
              </w:rPr>
              <w:t>“十五五”时期人社事业发展主要指标</w:t>
            </w:r>
          </w:p>
        </w:tc>
      </w:tr>
      <w:tr w14:paraId="6A93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49D1370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黑体"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kern w:val="2"/>
                <w:sz w:val="24"/>
                <w:szCs w:val="24"/>
                <w:highlight w:val="none"/>
                <w:u w:val="none"/>
                <w:vertAlign w:val="baseline"/>
                <w:lang w:val="en-US" w:eastAsia="zh-CN" w:bidi="ar-SA"/>
              </w:rPr>
              <w:t>指标名称</w:t>
            </w:r>
          </w:p>
        </w:tc>
        <w:tc>
          <w:tcPr>
            <w:tcW w:w="1129" w:type="dxa"/>
            <w:shd w:val="clear" w:color="auto" w:fill="auto"/>
            <w:noWrap w:val="0"/>
            <w:vAlign w:val="center"/>
          </w:tcPr>
          <w:p w14:paraId="47F6938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黑体"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kern w:val="2"/>
                <w:sz w:val="24"/>
                <w:szCs w:val="24"/>
                <w:highlight w:val="none"/>
                <w:u w:val="none"/>
                <w:vertAlign w:val="baseline"/>
                <w:lang w:val="en-US" w:eastAsia="zh-CN" w:bidi="ar-SA"/>
              </w:rPr>
              <w:t>单位</w:t>
            </w:r>
          </w:p>
        </w:tc>
        <w:tc>
          <w:tcPr>
            <w:tcW w:w="1730" w:type="dxa"/>
            <w:shd w:val="clear" w:color="auto" w:fill="auto"/>
            <w:noWrap w:val="0"/>
            <w:vAlign w:val="center"/>
          </w:tcPr>
          <w:p w14:paraId="7738154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黑体"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kern w:val="2"/>
                <w:sz w:val="24"/>
                <w:szCs w:val="24"/>
                <w:highlight w:val="none"/>
                <w:u w:val="none"/>
                <w:vertAlign w:val="baseline"/>
                <w:lang w:val="en-US" w:eastAsia="zh-CN" w:bidi="ar-SA"/>
              </w:rPr>
              <w:t>“十五五”目标</w:t>
            </w:r>
          </w:p>
        </w:tc>
      </w:tr>
      <w:tr w14:paraId="6BD6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8807" w:type="dxa"/>
            <w:gridSpan w:val="3"/>
            <w:shd w:val="clear" w:color="auto" w:fill="auto"/>
            <w:noWrap w:val="0"/>
            <w:vAlign w:val="center"/>
          </w:tcPr>
          <w:p w14:paraId="245FD35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left"/>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kern w:val="2"/>
                <w:sz w:val="24"/>
                <w:szCs w:val="24"/>
                <w:highlight w:val="none"/>
                <w:u w:val="none"/>
                <w:vertAlign w:val="baseline"/>
                <w:lang w:val="en-US" w:eastAsia="zh-CN" w:bidi="ar-SA"/>
              </w:rPr>
              <w:t>一、就业</w:t>
            </w:r>
          </w:p>
        </w:tc>
      </w:tr>
      <w:tr w14:paraId="51AE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49E1482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1. 城镇累计新就业人数</w:t>
            </w:r>
          </w:p>
        </w:tc>
        <w:tc>
          <w:tcPr>
            <w:tcW w:w="1129" w:type="dxa"/>
            <w:shd w:val="clear" w:color="auto" w:fill="auto"/>
            <w:noWrap w:val="0"/>
            <w:vAlign w:val="center"/>
          </w:tcPr>
          <w:p w14:paraId="0ECABF2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769F432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〔25〕</w:t>
            </w:r>
          </w:p>
        </w:tc>
      </w:tr>
      <w:tr w14:paraId="1164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47176F9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2. 城镇失业人员再就业人数</w:t>
            </w:r>
          </w:p>
        </w:tc>
        <w:tc>
          <w:tcPr>
            <w:tcW w:w="1129" w:type="dxa"/>
            <w:shd w:val="clear" w:color="auto" w:fill="auto"/>
            <w:noWrap w:val="0"/>
            <w:vAlign w:val="center"/>
          </w:tcPr>
          <w:p w14:paraId="64412D4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1734F5A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〔5〕</w:t>
            </w:r>
          </w:p>
        </w:tc>
      </w:tr>
      <w:tr w14:paraId="5415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0346B24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3. 就业困难人员就业人数</w:t>
            </w:r>
          </w:p>
        </w:tc>
        <w:tc>
          <w:tcPr>
            <w:tcW w:w="1129" w:type="dxa"/>
            <w:shd w:val="clear" w:color="auto" w:fill="auto"/>
            <w:noWrap w:val="0"/>
            <w:vAlign w:val="center"/>
          </w:tcPr>
          <w:p w14:paraId="09127CC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6BE9693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〔2.5〕</w:t>
            </w:r>
          </w:p>
        </w:tc>
      </w:tr>
      <w:tr w14:paraId="6CF3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016BFCF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4. 城镇调查失业率</w:t>
            </w:r>
          </w:p>
        </w:tc>
        <w:tc>
          <w:tcPr>
            <w:tcW w:w="1129" w:type="dxa"/>
            <w:shd w:val="clear" w:color="auto" w:fill="auto"/>
            <w:noWrap w:val="0"/>
            <w:vAlign w:val="center"/>
          </w:tcPr>
          <w:p w14:paraId="0A52D14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w:t>
            </w:r>
          </w:p>
        </w:tc>
        <w:tc>
          <w:tcPr>
            <w:tcW w:w="1730" w:type="dxa"/>
            <w:shd w:val="clear" w:color="auto" w:fill="auto"/>
            <w:noWrap w:val="0"/>
            <w:vAlign w:val="center"/>
          </w:tcPr>
          <w:p w14:paraId="213A0E8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5.5左右</w:t>
            </w:r>
          </w:p>
        </w:tc>
      </w:tr>
      <w:tr w14:paraId="5D9C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1579C31D">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5. 开展补贴性职业技能培训人次</w:t>
            </w:r>
          </w:p>
        </w:tc>
        <w:tc>
          <w:tcPr>
            <w:tcW w:w="1129" w:type="dxa"/>
            <w:shd w:val="clear" w:color="auto" w:fill="auto"/>
            <w:noWrap w:val="0"/>
            <w:vAlign w:val="center"/>
          </w:tcPr>
          <w:p w14:paraId="14DC687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535C414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〔15〕</w:t>
            </w:r>
          </w:p>
        </w:tc>
      </w:tr>
      <w:tr w14:paraId="76DF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537A376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6. 新增高校毕业生就业创业人数</w:t>
            </w:r>
          </w:p>
        </w:tc>
        <w:tc>
          <w:tcPr>
            <w:tcW w:w="1129" w:type="dxa"/>
            <w:shd w:val="clear" w:color="auto" w:fill="auto"/>
            <w:noWrap w:val="0"/>
            <w:vAlign w:val="center"/>
          </w:tcPr>
          <w:p w14:paraId="68D037C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2ABF43A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〔10〕</w:t>
            </w:r>
          </w:p>
        </w:tc>
      </w:tr>
      <w:tr w14:paraId="0160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11239E6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7. 新增返乡来黄就业创业人数</w:t>
            </w:r>
          </w:p>
        </w:tc>
        <w:tc>
          <w:tcPr>
            <w:tcW w:w="1129" w:type="dxa"/>
            <w:shd w:val="clear" w:color="auto" w:fill="auto"/>
            <w:noWrap w:val="0"/>
            <w:vAlign w:val="center"/>
          </w:tcPr>
          <w:p w14:paraId="04D61FE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1D6706C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〔7.5〕</w:t>
            </w:r>
          </w:p>
        </w:tc>
      </w:tr>
      <w:tr w14:paraId="31C7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414284B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8. 发放创业担保贷款</w:t>
            </w:r>
          </w:p>
        </w:tc>
        <w:tc>
          <w:tcPr>
            <w:tcW w:w="1129" w:type="dxa"/>
            <w:shd w:val="clear" w:color="auto" w:fill="auto"/>
            <w:noWrap w:val="0"/>
            <w:vAlign w:val="center"/>
          </w:tcPr>
          <w:p w14:paraId="5B8273B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亿元</w:t>
            </w:r>
          </w:p>
        </w:tc>
        <w:tc>
          <w:tcPr>
            <w:tcW w:w="1730" w:type="dxa"/>
            <w:shd w:val="clear" w:color="auto" w:fill="auto"/>
            <w:noWrap w:val="0"/>
            <w:vAlign w:val="center"/>
          </w:tcPr>
          <w:p w14:paraId="5FDE357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〔35〕</w:t>
            </w:r>
          </w:p>
        </w:tc>
      </w:tr>
      <w:tr w14:paraId="2230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75FF901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9. 重点群体培训就业转化率</w:t>
            </w:r>
          </w:p>
        </w:tc>
        <w:tc>
          <w:tcPr>
            <w:tcW w:w="1129" w:type="dxa"/>
            <w:shd w:val="clear" w:color="auto" w:fill="auto"/>
            <w:noWrap w:val="0"/>
            <w:vAlign w:val="center"/>
          </w:tcPr>
          <w:p w14:paraId="4358440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w:t>
            </w:r>
          </w:p>
        </w:tc>
        <w:tc>
          <w:tcPr>
            <w:tcW w:w="1730" w:type="dxa"/>
            <w:shd w:val="clear" w:color="auto" w:fill="auto"/>
            <w:noWrap w:val="0"/>
            <w:vAlign w:val="center"/>
          </w:tcPr>
          <w:p w14:paraId="7619307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30%</w:t>
            </w:r>
          </w:p>
        </w:tc>
      </w:tr>
      <w:tr w14:paraId="249D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8807" w:type="dxa"/>
            <w:gridSpan w:val="3"/>
            <w:shd w:val="clear" w:color="auto" w:fill="auto"/>
            <w:noWrap w:val="0"/>
            <w:vAlign w:val="center"/>
          </w:tcPr>
          <w:p w14:paraId="43AC666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left"/>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kern w:val="2"/>
                <w:sz w:val="24"/>
                <w:szCs w:val="24"/>
                <w:highlight w:val="none"/>
                <w:u w:val="none"/>
                <w:vertAlign w:val="baseline"/>
                <w:lang w:val="en-US" w:eastAsia="zh-CN" w:bidi="ar-SA"/>
              </w:rPr>
              <w:t>二、社会保障</w:t>
            </w:r>
          </w:p>
        </w:tc>
      </w:tr>
      <w:tr w14:paraId="6AFB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6" w:hRule="atLeast"/>
          <w:jc w:val="center"/>
        </w:trPr>
        <w:tc>
          <w:tcPr>
            <w:tcW w:w="5948" w:type="dxa"/>
            <w:shd w:val="clear" w:color="auto" w:fill="auto"/>
            <w:noWrap w:val="0"/>
            <w:vAlign w:val="center"/>
          </w:tcPr>
          <w:p w14:paraId="61A7381F">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vertAlign w:val="baseline"/>
                <w:lang w:val="en-US" w:eastAsia="zh-CN" w:bidi="ar-SA"/>
              </w:rPr>
              <w:t xml:space="preserve">10. </w:t>
            </w:r>
            <w:r>
              <w:rPr>
                <w:rFonts w:hint="eastAsia" w:ascii="Times New Roman" w:hAnsi="Times New Roman" w:eastAsia="仿宋_GB2312" w:cs="Times New Roman"/>
                <w:color w:val="auto"/>
                <w:kern w:val="2"/>
                <w:sz w:val="24"/>
                <w:szCs w:val="24"/>
                <w:highlight w:val="none"/>
                <w:vertAlign w:val="baseline"/>
                <w:lang w:val="en-US" w:eastAsia="zh-CN" w:bidi="ar-SA"/>
              </w:rPr>
              <w:t>基本养老保险参保率</w:t>
            </w:r>
          </w:p>
        </w:tc>
        <w:tc>
          <w:tcPr>
            <w:tcW w:w="1129" w:type="dxa"/>
            <w:shd w:val="clear" w:color="auto" w:fill="auto"/>
            <w:noWrap w:val="0"/>
            <w:vAlign w:val="center"/>
          </w:tcPr>
          <w:p w14:paraId="2620FEE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w:t>
            </w:r>
          </w:p>
        </w:tc>
        <w:tc>
          <w:tcPr>
            <w:tcW w:w="1730" w:type="dxa"/>
            <w:shd w:val="clear" w:color="auto" w:fill="auto"/>
            <w:noWrap w:val="0"/>
            <w:vAlign w:val="center"/>
          </w:tcPr>
          <w:p w14:paraId="0AE14BC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eastAsia" w:ascii="Times New Roman" w:hAnsi="Times New Roman" w:eastAsia="仿宋_GB2312" w:cs="Times New Roman"/>
                <w:color w:val="auto"/>
                <w:kern w:val="2"/>
                <w:sz w:val="24"/>
                <w:szCs w:val="24"/>
                <w:highlight w:val="none"/>
                <w:u w:val="none"/>
                <w:vertAlign w:val="baseline"/>
                <w:lang w:val="en-US" w:eastAsia="zh-CN" w:bidi="ar-SA"/>
              </w:rPr>
              <w:t>95左右</w:t>
            </w:r>
          </w:p>
        </w:tc>
      </w:tr>
      <w:tr w14:paraId="6AB2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02C92B3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vertAlign w:val="baseline"/>
                <w:lang w:val="en-US" w:eastAsia="zh-CN" w:bidi="ar-SA"/>
              </w:rPr>
              <w:t>11. 失业保险参保人数</w:t>
            </w:r>
          </w:p>
        </w:tc>
        <w:tc>
          <w:tcPr>
            <w:tcW w:w="1129" w:type="dxa"/>
            <w:shd w:val="clear" w:color="auto" w:fill="auto"/>
            <w:noWrap w:val="0"/>
            <w:vAlign w:val="center"/>
          </w:tcPr>
          <w:p w14:paraId="6641BA0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vertAlign w:val="baseline"/>
                <w:lang w:val="en-US" w:eastAsia="zh-CN" w:bidi="ar-SA"/>
              </w:rPr>
              <w:t>万人</w:t>
            </w:r>
          </w:p>
        </w:tc>
        <w:tc>
          <w:tcPr>
            <w:tcW w:w="1730" w:type="dxa"/>
            <w:shd w:val="clear" w:color="auto" w:fill="auto"/>
            <w:noWrap w:val="0"/>
            <w:vAlign w:val="center"/>
          </w:tcPr>
          <w:p w14:paraId="6BA277D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vertAlign w:val="baseline"/>
                <w:lang w:val="en-US" w:eastAsia="zh-CN" w:bidi="ar-SA"/>
              </w:rPr>
              <w:t>30</w:t>
            </w:r>
          </w:p>
        </w:tc>
      </w:tr>
      <w:tr w14:paraId="11B2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0135B5C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12. 工伤保险（含职业伤害保障）参保人数</w:t>
            </w:r>
          </w:p>
        </w:tc>
        <w:tc>
          <w:tcPr>
            <w:tcW w:w="1129" w:type="dxa"/>
            <w:shd w:val="clear" w:color="auto" w:fill="auto"/>
            <w:noWrap w:val="0"/>
            <w:vAlign w:val="center"/>
          </w:tcPr>
          <w:p w14:paraId="5FD22EC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2D9B050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4</w:t>
            </w:r>
            <w:r>
              <w:rPr>
                <w:rFonts w:hint="eastAsia" w:ascii="Times New Roman" w:hAnsi="Times New Roman" w:eastAsia="仿宋_GB2312" w:cs="Times New Roman"/>
                <w:color w:val="auto"/>
                <w:kern w:val="2"/>
                <w:sz w:val="24"/>
                <w:szCs w:val="24"/>
                <w:highlight w:val="none"/>
                <w:u w:val="none"/>
                <w:vertAlign w:val="baseline"/>
                <w:lang w:val="en-US" w:eastAsia="zh-CN" w:bidi="ar-SA"/>
              </w:rPr>
              <w:t>2</w:t>
            </w:r>
          </w:p>
        </w:tc>
      </w:tr>
      <w:tr w14:paraId="0323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8807" w:type="dxa"/>
            <w:gridSpan w:val="3"/>
            <w:shd w:val="clear" w:color="auto" w:fill="auto"/>
            <w:noWrap w:val="0"/>
            <w:vAlign w:val="center"/>
          </w:tcPr>
          <w:p w14:paraId="4B84BB9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left"/>
              <w:textAlignment w:val="baseline"/>
              <w:rPr>
                <w:rFonts w:hint="default" w:ascii="Times New Roman" w:hAnsi="Times New Roman" w:eastAsia="黑体"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kern w:val="2"/>
                <w:sz w:val="24"/>
                <w:szCs w:val="24"/>
                <w:highlight w:val="none"/>
                <w:u w:val="none"/>
                <w:vertAlign w:val="baseline"/>
                <w:lang w:val="en-US" w:eastAsia="zh-CN" w:bidi="ar-SA"/>
              </w:rPr>
              <w:t>三、人事人才</w:t>
            </w:r>
          </w:p>
        </w:tc>
      </w:tr>
      <w:tr w14:paraId="301F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2F99240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1</w:t>
            </w:r>
            <w:r>
              <w:rPr>
                <w:rFonts w:hint="eastAsia" w:ascii="Times New Roman" w:hAnsi="Times New Roman" w:eastAsia="仿宋_GB2312" w:cs="Times New Roman"/>
                <w:color w:val="auto"/>
                <w:kern w:val="2"/>
                <w:sz w:val="24"/>
                <w:szCs w:val="24"/>
                <w:highlight w:val="none"/>
                <w:u w:val="none"/>
                <w:vertAlign w:val="baseline"/>
                <w:lang w:val="en-US" w:eastAsia="zh-CN" w:bidi="ar-SA"/>
              </w:rPr>
              <w:t>3</w:t>
            </w:r>
            <w:r>
              <w:rPr>
                <w:rFonts w:hint="default" w:ascii="Times New Roman" w:hAnsi="Times New Roman" w:eastAsia="仿宋_GB2312" w:cs="Times New Roman"/>
                <w:color w:val="auto"/>
                <w:kern w:val="2"/>
                <w:sz w:val="24"/>
                <w:szCs w:val="24"/>
                <w:highlight w:val="none"/>
                <w:u w:val="none"/>
                <w:vertAlign w:val="baseline"/>
                <w:lang w:val="en-US" w:eastAsia="zh-CN" w:bidi="ar-SA"/>
              </w:rPr>
              <w:t>. 新增取得专业技术人员职业资格证书人数</w:t>
            </w:r>
          </w:p>
        </w:tc>
        <w:tc>
          <w:tcPr>
            <w:tcW w:w="1129" w:type="dxa"/>
            <w:shd w:val="clear" w:color="auto" w:fill="auto"/>
            <w:noWrap w:val="0"/>
            <w:vAlign w:val="center"/>
          </w:tcPr>
          <w:p w14:paraId="5F70C0E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4243E18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〔2.5〕</w:t>
            </w:r>
          </w:p>
        </w:tc>
      </w:tr>
      <w:tr w14:paraId="31D7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0F3F9620">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vertAlign w:val="baseline"/>
                <w:lang w:val="en-US" w:eastAsia="zh-CN" w:bidi="ar-SA"/>
              </w:rPr>
              <w:t>1</w:t>
            </w:r>
            <w:r>
              <w:rPr>
                <w:rFonts w:hint="eastAsia" w:ascii="Times New Roman" w:hAnsi="Times New Roman" w:eastAsia="仿宋_GB2312" w:cs="Times New Roman"/>
                <w:color w:val="auto"/>
                <w:kern w:val="2"/>
                <w:sz w:val="24"/>
                <w:szCs w:val="24"/>
                <w:highlight w:val="none"/>
                <w:vertAlign w:val="baseline"/>
                <w:lang w:val="en-US" w:eastAsia="zh-CN" w:bidi="ar-SA"/>
              </w:rPr>
              <w:t>4</w:t>
            </w:r>
            <w:r>
              <w:rPr>
                <w:rFonts w:hint="default" w:ascii="Times New Roman" w:hAnsi="Times New Roman" w:eastAsia="仿宋_GB2312" w:cs="Times New Roman"/>
                <w:color w:val="auto"/>
                <w:kern w:val="2"/>
                <w:sz w:val="24"/>
                <w:szCs w:val="24"/>
                <w:highlight w:val="none"/>
                <w:vertAlign w:val="baseline"/>
                <w:lang w:val="en-US" w:eastAsia="zh-CN" w:bidi="ar-SA"/>
              </w:rPr>
              <w:t xml:space="preserve">. </w:t>
            </w:r>
            <w:r>
              <w:rPr>
                <w:rFonts w:hint="default" w:ascii="Times New Roman" w:hAnsi="Times New Roman" w:eastAsia="仿宋_GB2312" w:cs="Times New Roman"/>
                <w:color w:val="auto"/>
                <w:kern w:val="2"/>
                <w:sz w:val="24"/>
                <w:szCs w:val="24"/>
                <w:highlight w:val="none"/>
                <w:u w:val="none"/>
                <w:vertAlign w:val="baseline"/>
                <w:lang w:val="en-US" w:eastAsia="zh-CN" w:bidi="ar-SA"/>
              </w:rPr>
              <w:t>新增取得职业资格证书或职业技能等级证书人数</w:t>
            </w:r>
          </w:p>
        </w:tc>
        <w:tc>
          <w:tcPr>
            <w:tcW w:w="1129" w:type="dxa"/>
            <w:shd w:val="clear" w:color="auto" w:fill="auto"/>
            <w:noWrap w:val="0"/>
            <w:vAlign w:val="center"/>
          </w:tcPr>
          <w:p w14:paraId="2BA41EC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63E92C5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〔3.6〕</w:t>
            </w:r>
          </w:p>
        </w:tc>
      </w:tr>
      <w:tr w14:paraId="210E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0DB0E707">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vertAlign w:val="baseline"/>
                <w:lang w:val="en-US" w:eastAsia="zh-CN" w:bidi="ar-SA"/>
              </w:rPr>
              <w:t>1</w:t>
            </w:r>
            <w:r>
              <w:rPr>
                <w:rFonts w:hint="eastAsia" w:ascii="Times New Roman" w:hAnsi="Times New Roman" w:eastAsia="仿宋_GB2312" w:cs="Times New Roman"/>
                <w:color w:val="auto"/>
                <w:kern w:val="2"/>
                <w:sz w:val="24"/>
                <w:szCs w:val="24"/>
                <w:highlight w:val="none"/>
                <w:vertAlign w:val="baseline"/>
                <w:lang w:val="en-US" w:eastAsia="zh-CN" w:bidi="ar-SA"/>
              </w:rPr>
              <w:t>5</w:t>
            </w:r>
            <w:r>
              <w:rPr>
                <w:rFonts w:hint="default" w:ascii="Times New Roman" w:hAnsi="Times New Roman" w:eastAsia="仿宋_GB2312" w:cs="Times New Roman"/>
                <w:color w:val="auto"/>
                <w:kern w:val="2"/>
                <w:sz w:val="24"/>
                <w:szCs w:val="24"/>
                <w:highlight w:val="none"/>
                <w:vertAlign w:val="baseline"/>
                <w:lang w:val="en-US" w:eastAsia="zh-CN" w:bidi="ar-SA"/>
              </w:rPr>
              <w:t xml:space="preserve">. </w:t>
            </w:r>
            <w:r>
              <w:rPr>
                <w:rFonts w:hint="default" w:ascii="Times New Roman" w:hAnsi="Times New Roman" w:eastAsia="仿宋_GB2312" w:cs="Times New Roman"/>
                <w:color w:val="auto"/>
                <w:kern w:val="2"/>
                <w:sz w:val="24"/>
                <w:szCs w:val="24"/>
                <w:highlight w:val="none"/>
                <w:u w:val="none"/>
                <w:vertAlign w:val="baseline"/>
                <w:lang w:val="en-US" w:eastAsia="zh-CN" w:bidi="ar-SA"/>
              </w:rPr>
              <w:t>其中：新增取得高级工以上职业资格证书或职业技能等级证书人数</w:t>
            </w:r>
          </w:p>
        </w:tc>
        <w:tc>
          <w:tcPr>
            <w:tcW w:w="1129" w:type="dxa"/>
            <w:shd w:val="clear" w:color="auto" w:fill="auto"/>
            <w:noWrap w:val="0"/>
            <w:vAlign w:val="center"/>
          </w:tcPr>
          <w:p w14:paraId="72B117D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377E2B7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〔2〕</w:t>
            </w:r>
          </w:p>
        </w:tc>
      </w:tr>
      <w:tr w14:paraId="4462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0B8D0804">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vertAlign w:val="baseline"/>
                <w:lang w:val="en-US" w:eastAsia="zh-CN" w:bidi="ar-SA"/>
              </w:rPr>
              <w:t>1</w:t>
            </w:r>
            <w:r>
              <w:rPr>
                <w:rFonts w:hint="eastAsia" w:ascii="Times New Roman" w:hAnsi="Times New Roman" w:eastAsia="仿宋_GB2312" w:cs="Times New Roman"/>
                <w:color w:val="auto"/>
                <w:kern w:val="2"/>
                <w:sz w:val="24"/>
                <w:szCs w:val="24"/>
                <w:highlight w:val="none"/>
                <w:vertAlign w:val="baseline"/>
                <w:lang w:val="en-US" w:eastAsia="zh-CN" w:bidi="ar-SA"/>
              </w:rPr>
              <w:t>6</w:t>
            </w:r>
            <w:r>
              <w:rPr>
                <w:rFonts w:hint="default" w:ascii="Times New Roman" w:hAnsi="Times New Roman" w:eastAsia="仿宋_GB2312" w:cs="Times New Roman"/>
                <w:color w:val="auto"/>
                <w:kern w:val="2"/>
                <w:sz w:val="24"/>
                <w:szCs w:val="24"/>
                <w:highlight w:val="none"/>
                <w:vertAlign w:val="baseline"/>
                <w:lang w:val="en-US" w:eastAsia="zh-CN" w:bidi="ar-SA"/>
              </w:rPr>
              <w:t>. 技能人才总量</w:t>
            </w:r>
          </w:p>
        </w:tc>
        <w:tc>
          <w:tcPr>
            <w:tcW w:w="1129" w:type="dxa"/>
            <w:shd w:val="clear" w:color="auto" w:fill="auto"/>
            <w:noWrap w:val="0"/>
            <w:vAlign w:val="center"/>
          </w:tcPr>
          <w:p w14:paraId="1632B3B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万人</w:t>
            </w:r>
          </w:p>
        </w:tc>
        <w:tc>
          <w:tcPr>
            <w:tcW w:w="1730" w:type="dxa"/>
            <w:shd w:val="clear" w:color="auto" w:fill="auto"/>
            <w:noWrap w:val="0"/>
            <w:vAlign w:val="center"/>
          </w:tcPr>
          <w:p w14:paraId="7A4E88E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36</w:t>
            </w:r>
          </w:p>
        </w:tc>
      </w:tr>
      <w:tr w14:paraId="7A3A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3E24203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1</w:t>
            </w:r>
            <w:r>
              <w:rPr>
                <w:rFonts w:hint="eastAsia" w:ascii="Times New Roman" w:hAnsi="Times New Roman" w:eastAsia="仿宋_GB2312" w:cs="Times New Roman"/>
                <w:color w:val="auto"/>
                <w:kern w:val="2"/>
                <w:sz w:val="24"/>
                <w:szCs w:val="24"/>
                <w:highlight w:val="none"/>
                <w:u w:val="none"/>
                <w:vertAlign w:val="baseline"/>
                <w:lang w:val="en-US" w:eastAsia="zh-CN" w:bidi="ar-SA"/>
              </w:rPr>
              <w:t>7</w:t>
            </w:r>
            <w:r>
              <w:rPr>
                <w:rFonts w:hint="default" w:ascii="Times New Roman" w:hAnsi="Times New Roman" w:eastAsia="仿宋_GB2312" w:cs="Times New Roman"/>
                <w:color w:val="auto"/>
                <w:kern w:val="2"/>
                <w:sz w:val="24"/>
                <w:szCs w:val="24"/>
                <w:highlight w:val="none"/>
                <w:u w:val="none"/>
                <w:vertAlign w:val="baseline"/>
                <w:lang w:val="en-US" w:eastAsia="zh-CN" w:bidi="ar-SA"/>
              </w:rPr>
              <w:t>. 高技能人才占技能人才比例</w:t>
            </w:r>
          </w:p>
        </w:tc>
        <w:tc>
          <w:tcPr>
            <w:tcW w:w="1129" w:type="dxa"/>
            <w:shd w:val="clear" w:color="auto" w:fill="auto"/>
            <w:noWrap w:val="0"/>
            <w:vAlign w:val="center"/>
          </w:tcPr>
          <w:p w14:paraId="587DF39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w:t>
            </w:r>
          </w:p>
        </w:tc>
        <w:tc>
          <w:tcPr>
            <w:tcW w:w="1730" w:type="dxa"/>
            <w:shd w:val="clear" w:color="auto" w:fill="auto"/>
            <w:noWrap w:val="0"/>
            <w:vAlign w:val="center"/>
          </w:tcPr>
          <w:p w14:paraId="4CC6468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35</w:t>
            </w:r>
          </w:p>
        </w:tc>
      </w:tr>
      <w:tr w14:paraId="4F52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8807" w:type="dxa"/>
            <w:gridSpan w:val="3"/>
            <w:shd w:val="clear" w:color="auto" w:fill="auto"/>
            <w:noWrap w:val="0"/>
            <w:vAlign w:val="center"/>
          </w:tcPr>
          <w:p w14:paraId="76C97E2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left"/>
              <w:textAlignment w:val="baseline"/>
              <w:rPr>
                <w:rFonts w:hint="default" w:ascii="Times New Roman" w:hAnsi="Times New Roman" w:eastAsia="黑体"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kern w:val="2"/>
                <w:sz w:val="24"/>
                <w:szCs w:val="24"/>
                <w:highlight w:val="none"/>
                <w:u w:val="none"/>
                <w:vertAlign w:val="baseline"/>
                <w:lang w:val="en-US" w:eastAsia="zh-CN" w:bidi="ar-SA"/>
              </w:rPr>
              <w:t>四、劳动关系</w:t>
            </w:r>
          </w:p>
        </w:tc>
      </w:tr>
      <w:tr w14:paraId="38CD5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2BEF549D">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vertAlign w:val="baseline"/>
                <w:lang w:val="en-US" w:eastAsia="zh-CN" w:bidi="ar-SA"/>
              </w:rPr>
              <w:t>1</w:t>
            </w:r>
            <w:r>
              <w:rPr>
                <w:rFonts w:hint="eastAsia" w:ascii="Times New Roman" w:hAnsi="Times New Roman" w:eastAsia="仿宋_GB2312" w:cs="Times New Roman"/>
                <w:color w:val="auto"/>
                <w:kern w:val="2"/>
                <w:sz w:val="24"/>
                <w:szCs w:val="24"/>
                <w:highlight w:val="none"/>
                <w:vertAlign w:val="baseline"/>
                <w:lang w:val="en-US" w:eastAsia="zh-CN" w:bidi="ar-SA"/>
              </w:rPr>
              <w:t>8</w:t>
            </w:r>
            <w:r>
              <w:rPr>
                <w:rFonts w:hint="default" w:ascii="Times New Roman" w:hAnsi="Times New Roman" w:eastAsia="仿宋_GB2312" w:cs="Times New Roman"/>
                <w:color w:val="auto"/>
                <w:kern w:val="2"/>
                <w:sz w:val="24"/>
                <w:szCs w:val="24"/>
                <w:highlight w:val="none"/>
                <w:vertAlign w:val="baseline"/>
                <w:lang w:val="en-US" w:eastAsia="zh-CN" w:bidi="ar-SA"/>
              </w:rPr>
              <w:t xml:space="preserve">. </w:t>
            </w:r>
            <w:r>
              <w:rPr>
                <w:rFonts w:hint="default" w:ascii="Times New Roman" w:hAnsi="Times New Roman" w:eastAsia="仿宋_GB2312" w:cs="Times New Roman"/>
                <w:color w:val="auto"/>
                <w:kern w:val="2"/>
                <w:sz w:val="24"/>
                <w:szCs w:val="24"/>
                <w:highlight w:val="none"/>
                <w:u w:val="none"/>
                <w:vertAlign w:val="baseline"/>
                <w:lang w:val="en-US" w:eastAsia="zh-CN" w:bidi="ar-SA"/>
              </w:rPr>
              <w:t>劳动人事争议调解成功率</w:t>
            </w:r>
          </w:p>
        </w:tc>
        <w:tc>
          <w:tcPr>
            <w:tcW w:w="1129" w:type="dxa"/>
            <w:shd w:val="clear" w:color="auto" w:fill="auto"/>
            <w:noWrap w:val="0"/>
            <w:vAlign w:val="center"/>
          </w:tcPr>
          <w:p w14:paraId="28636F6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w:t>
            </w:r>
          </w:p>
        </w:tc>
        <w:tc>
          <w:tcPr>
            <w:tcW w:w="1730" w:type="dxa"/>
            <w:shd w:val="clear" w:color="auto" w:fill="auto"/>
            <w:noWrap w:val="0"/>
            <w:vAlign w:val="center"/>
          </w:tcPr>
          <w:p w14:paraId="24771CE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eastAsia" w:ascii="Times New Roman" w:hAnsi="Times New Roman" w:eastAsia="仿宋_GB2312" w:cs="Times New Roman"/>
                <w:color w:val="auto"/>
                <w:kern w:val="2"/>
                <w:sz w:val="24"/>
                <w:szCs w:val="24"/>
                <w:highlight w:val="none"/>
                <w:u w:val="none"/>
                <w:vertAlign w:val="baseline"/>
                <w:lang w:val="en-US" w:eastAsia="zh-CN" w:bidi="ar-SA"/>
              </w:rPr>
              <w:t>8</w:t>
            </w:r>
            <w:r>
              <w:rPr>
                <w:rFonts w:hint="default" w:ascii="Times New Roman" w:hAnsi="Times New Roman" w:eastAsia="仿宋_GB2312" w:cs="Times New Roman"/>
                <w:color w:val="auto"/>
                <w:kern w:val="2"/>
                <w:sz w:val="24"/>
                <w:szCs w:val="24"/>
                <w:highlight w:val="none"/>
                <w:u w:val="none"/>
                <w:vertAlign w:val="baseline"/>
                <w:lang w:val="en-US" w:eastAsia="zh-CN" w:bidi="ar-SA"/>
              </w:rPr>
              <w:t>5</w:t>
            </w:r>
          </w:p>
        </w:tc>
      </w:tr>
      <w:tr w14:paraId="6AED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42993C9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eastAsia" w:ascii="Times New Roman" w:hAnsi="Times New Roman" w:eastAsia="仿宋_GB2312" w:cs="Times New Roman"/>
                <w:color w:val="auto"/>
                <w:kern w:val="2"/>
                <w:sz w:val="24"/>
                <w:szCs w:val="24"/>
                <w:highlight w:val="none"/>
                <w:u w:val="none"/>
                <w:vertAlign w:val="baseline"/>
                <w:lang w:val="en-US" w:eastAsia="zh-CN" w:bidi="ar-SA"/>
              </w:rPr>
              <w:t>19</w:t>
            </w:r>
            <w:r>
              <w:rPr>
                <w:rFonts w:hint="default" w:ascii="Times New Roman" w:hAnsi="Times New Roman" w:eastAsia="仿宋_GB2312" w:cs="Times New Roman"/>
                <w:color w:val="auto"/>
                <w:kern w:val="2"/>
                <w:sz w:val="24"/>
                <w:szCs w:val="24"/>
                <w:highlight w:val="none"/>
                <w:u w:val="none"/>
                <w:vertAlign w:val="baseline"/>
                <w:lang w:val="en-US" w:eastAsia="zh-CN" w:bidi="ar-SA"/>
              </w:rPr>
              <w:t>. 劳动人事争议仲裁结案率</w:t>
            </w:r>
          </w:p>
        </w:tc>
        <w:tc>
          <w:tcPr>
            <w:tcW w:w="1129" w:type="dxa"/>
            <w:shd w:val="clear" w:color="auto" w:fill="auto"/>
            <w:noWrap w:val="0"/>
            <w:vAlign w:val="center"/>
          </w:tcPr>
          <w:p w14:paraId="5B4CED1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w:t>
            </w:r>
          </w:p>
        </w:tc>
        <w:tc>
          <w:tcPr>
            <w:tcW w:w="1730" w:type="dxa"/>
            <w:shd w:val="clear" w:color="auto" w:fill="auto"/>
            <w:noWrap w:val="0"/>
            <w:vAlign w:val="center"/>
          </w:tcPr>
          <w:p w14:paraId="2DA0EF8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eastAsia" w:ascii="Times New Roman" w:hAnsi="Times New Roman" w:eastAsia="仿宋_GB2312" w:cs="Times New Roman"/>
                <w:color w:val="auto"/>
                <w:kern w:val="2"/>
                <w:sz w:val="24"/>
                <w:szCs w:val="24"/>
                <w:highlight w:val="none"/>
                <w:u w:val="none"/>
                <w:vertAlign w:val="baseline"/>
                <w:lang w:val="en-US" w:eastAsia="zh-CN" w:bidi="ar-SA"/>
              </w:rPr>
              <w:t>97</w:t>
            </w:r>
          </w:p>
        </w:tc>
      </w:tr>
      <w:tr w14:paraId="40B7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2BC1F23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2</w:t>
            </w:r>
            <w:r>
              <w:rPr>
                <w:rFonts w:hint="eastAsia" w:ascii="Times New Roman" w:hAnsi="Times New Roman" w:eastAsia="仿宋_GB2312" w:cs="Times New Roman"/>
                <w:color w:val="auto"/>
                <w:kern w:val="2"/>
                <w:sz w:val="24"/>
                <w:szCs w:val="24"/>
                <w:highlight w:val="none"/>
                <w:u w:val="none"/>
                <w:vertAlign w:val="baseline"/>
                <w:lang w:val="en-US" w:eastAsia="zh-CN" w:bidi="ar-SA"/>
              </w:rPr>
              <w:t>0</w:t>
            </w:r>
            <w:r>
              <w:rPr>
                <w:rFonts w:hint="default" w:ascii="Times New Roman" w:hAnsi="Times New Roman" w:eastAsia="仿宋_GB2312" w:cs="Times New Roman"/>
                <w:color w:val="auto"/>
                <w:kern w:val="2"/>
                <w:sz w:val="24"/>
                <w:szCs w:val="24"/>
                <w:highlight w:val="none"/>
                <w:u w:val="none"/>
                <w:vertAlign w:val="baseline"/>
                <w:lang w:val="en-US" w:eastAsia="zh-CN" w:bidi="ar-SA"/>
              </w:rPr>
              <w:t>. 劳动保障监察举报投诉案件结案率</w:t>
            </w:r>
          </w:p>
        </w:tc>
        <w:tc>
          <w:tcPr>
            <w:tcW w:w="1129" w:type="dxa"/>
            <w:shd w:val="clear" w:color="auto" w:fill="auto"/>
            <w:noWrap w:val="0"/>
            <w:vAlign w:val="center"/>
          </w:tcPr>
          <w:p w14:paraId="4F234D5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w:t>
            </w:r>
          </w:p>
        </w:tc>
        <w:tc>
          <w:tcPr>
            <w:tcW w:w="1730" w:type="dxa"/>
            <w:shd w:val="clear" w:color="auto" w:fill="auto"/>
            <w:noWrap w:val="0"/>
            <w:vAlign w:val="center"/>
          </w:tcPr>
          <w:p w14:paraId="38B18C9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eastAsia" w:ascii="Times New Roman" w:hAnsi="Times New Roman" w:eastAsia="仿宋_GB2312" w:cs="Times New Roman"/>
                <w:color w:val="auto"/>
                <w:kern w:val="2"/>
                <w:sz w:val="24"/>
                <w:szCs w:val="24"/>
                <w:highlight w:val="none"/>
                <w:u w:val="none"/>
                <w:vertAlign w:val="baseline"/>
                <w:lang w:val="en-US" w:eastAsia="zh-CN" w:bidi="ar-SA"/>
              </w:rPr>
              <w:t>99</w:t>
            </w:r>
          </w:p>
        </w:tc>
      </w:tr>
      <w:tr w14:paraId="6F5E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8807" w:type="dxa"/>
            <w:gridSpan w:val="3"/>
            <w:shd w:val="clear" w:color="auto" w:fill="auto"/>
            <w:noWrap w:val="0"/>
            <w:vAlign w:val="center"/>
          </w:tcPr>
          <w:p w14:paraId="06905F4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left"/>
              <w:textAlignment w:val="baseline"/>
              <w:rPr>
                <w:rFonts w:hint="default" w:ascii="Times New Roman" w:hAnsi="Times New Roman" w:eastAsia="黑体" w:cs="Times New Roman"/>
                <w:color w:val="auto"/>
                <w:kern w:val="2"/>
                <w:sz w:val="24"/>
                <w:szCs w:val="24"/>
                <w:highlight w:val="none"/>
                <w:u w:val="none"/>
                <w:vertAlign w:val="baseline"/>
                <w:lang w:val="en-US" w:eastAsia="zh-CN" w:bidi="ar-SA"/>
              </w:rPr>
            </w:pPr>
            <w:r>
              <w:rPr>
                <w:rFonts w:hint="default" w:ascii="Times New Roman" w:hAnsi="Times New Roman" w:eastAsia="黑体" w:cs="Times New Roman"/>
                <w:color w:val="auto"/>
                <w:kern w:val="2"/>
                <w:sz w:val="24"/>
                <w:szCs w:val="24"/>
                <w:highlight w:val="none"/>
                <w:u w:val="none"/>
                <w:vertAlign w:val="baseline"/>
                <w:lang w:val="en-US" w:eastAsia="zh-CN" w:bidi="ar-SA"/>
              </w:rPr>
              <w:t>五、公共服务</w:t>
            </w:r>
          </w:p>
        </w:tc>
      </w:tr>
      <w:tr w14:paraId="7FAD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5948" w:type="dxa"/>
            <w:shd w:val="clear" w:color="auto" w:fill="auto"/>
            <w:noWrap w:val="0"/>
            <w:vAlign w:val="center"/>
          </w:tcPr>
          <w:p w14:paraId="3C60BAA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both"/>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2</w:t>
            </w:r>
            <w:r>
              <w:rPr>
                <w:rFonts w:hint="eastAsia" w:ascii="Times New Roman" w:hAnsi="Times New Roman" w:eastAsia="仿宋_GB2312" w:cs="Times New Roman"/>
                <w:color w:val="auto"/>
                <w:kern w:val="2"/>
                <w:sz w:val="24"/>
                <w:szCs w:val="24"/>
                <w:highlight w:val="none"/>
                <w:u w:val="none"/>
                <w:vertAlign w:val="baseline"/>
                <w:lang w:val="en-US" w:eastAsia="zh-CN" w:bidi="ar-SA"/>
              </w:rPr>
              <w:t>1</w:t>
            </w:r>
            <w:r>
              <w:rPr>
                <w:rFonts w:hint="default" w:ascii="Times New Roman" w:hAnsi="Times New Roman" w:eastAsia="仿宋_GB2312" w:cs="Times New Roman"/>
                <w:color w:val="auto"/>
                <w:kern w:val="2"/>
                <w:sz w:val="24"/>
                <w:szCs w:val="24"/>
                <w:highlight w:val="none"/>
                <w:u w:val="none"/>
                <w:vertAlign w:val="baseline"/>
                <w:lang w:val="en-US" w:eastAsia="zh-CN" w:bidi="ar-SA"/>
              </w:rPr>
              <w:t>. 申领电子社保卡人口覆盖率</w:t>
            </w:r>
          </w:p>
        </w:tc>
        <w:tc>
          <w:tcPr>
            <w:tcW w:w="1129" w:type="dxa"/>
            <w:shd w:val="clear" w:color="auto" w:fill="auto"/>
            <w:noWrap w:val="0"/>
            <w:vAlign w:val="center"/>
          </w:tcPr>
          <w:p w14:paraId="04895A1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w:t>
            </w:r>
          </w:p>
        </w:tc>
        <w:tc>
          <w:tcPr>
            <w:tcW w:w="1730" w:type="dxa"/>
            <w:shd w:val="clear" w:color="auto" w:fill="auto"/>
            <w:noWrap w:val="0"/>
            <w:vAlign w:val="center"/>
          </w:tcPr>
          <w:p w14:paraId="45708D0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center"/>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90</w:t>
            </w:r>
          </w:p>
        </w:tc>
      </w:tr>
      <w:tr w14:paraId="5EB5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567" w:hRule="atLeast"/>
          <w:jc w:val="center"/>
        </w:trPr>
        <w:tc>
          <w:tcPr>
            <w:tcW w:w="8807" w:type="dxa"/>
            <w:gridSpan w:val="3"/>
            <w:shd w:val="clear" w:color="auto" w:fill="auto"/>
            <w:noWrap w:val="0"/>
            <w:vAlign w:val="center"/>
          </w:tcPr>
          <w:p w14:paraId="63FC38F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leftChars="0" w:right="0" w:firstLine="0" w:firstLineChars="0"/>
              <w:jc w:val="left"/>
              <w:textAlignment w:val="baseline"/>
              <w:rPr>
                <w:rFonts w:hint="default" w:ascii="Times New Roman" w:hAnsi="Times New Roman" w:eastAsia="仿宋_GB2312" w:cs="Times New Roman"/>
                <w:color w:val="auto"/>
                <w:kern w:val="2"/>
                <w:sz w:val="24"/>
                <w:szCs w:val="24"/>
                <w:highlight w:val="none"/>
                <w:u w:val="none"/>
                <w:vertAlign w:val="baseline"/>
                <w:lang w:val="en-US" w:eastAsia="zh-CN" w:bidi="ar-SA"/>
              </w:rPr>
            </w:pPr>
            <w:r>
              <w:rPr>
                <w:rFonts w:hint="default" w:ascii="Times New Roman" w:hAnsi="Times New Roman" w:eastAsia="仿宋_GB2312" w:cs="Times New Roman"/>
                <w:color w:val="auto"/>
                <w:kern w:val="2"/>
                <w:sz w:val="24"/>
                <w:szCs w:val="24"/>
                <w:highlight w:val="none"/>
                <w:u w:val="none"/>
                <w:vertAlign w:val="baseline"/>
                <w:lang w:val="en-US" w:eastAsia="zh-CN" w:bidi="ar-SA"/>
              </w:rPr>
              <w:t>注：〔〕表示五年累计数</w:t>
            </w:r>
          </w:p>
        </w:tc>
      </w:tr>
    </w:tbl>
    <w:p w14:paraId="5A814B5B">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left="0" w:leftChars="0" w:firstLine="640" w:firstLineChars="200"/>
        <w:jc w:val="both"/>
        <w:textAlignment w:val="baseline"/>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val="en-US" w:eastAsia="zh-CN"/>
        </w:rPr>
        <w:t>四</w:t>
      </w:r>
      <w:r>
        <w:rPr>
          <w:rFonts w:hint="default" w:ascii="Times New Roman" w:hAnsi="Times New Roman" w:eastAsia="黑体" w:cs="Times New Roman"/>
          <w:color w:val="auto"/>
          <w:sz w:val="32"/>
          <w:szCs w:val="32"/>
          <w:highlight w:val="none"/>
          <w:u w:val="none"/>
        </w:rPr>
        <w:t>、</w:t>
      </w:r>
      <w:r>
        <w:rPr>
          <w:rFonts w:hint="default" w:ascii="Times New Roman" w:hAnsi="Times New Roman" w:eastAsia="黑体" w:cs="Times New Roman"/>
          <w:color w:val="auto"/>
          <w:sz w:val="32"/>
          <w:szCs w:val="32"/>
          <w:highlight w:val="none"/>
          <w:u w:val="none"/>
          <w:lang w:eastAsia="zh-CN"/>
        </w:rPr>
        <w:t>“</w:t>
      </w:r>
      <w:r>
        <w:rPr>
          <w:rFonts w:hint="default" w:ascii="Times New Roman" w:hAnsi="Times New Roman" w:eastAsia="黑体" w:cs="Times New Roman"/>
          <w:color w:val="auto"/>
          <w:sz w:val="32"/>
          <w:szCs w:val="32"/>
          <w:highlight w:val="none"/>
          <w:u w:val="none"/>
          <w:lang w:val="en-US" w:eastAsia="zh-CN"/>
        </w:rPr>
        <w:t>十五五”时期重点任务</w:t>
      </w:r>
    </w:p>
    <w:p w14:paraId="08491574">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578" w:lineRule="exact"/>
        <w:ind w:left="0" w:leftChars="0" w:firstLine="640" w:firstLineChars="200"/>
        <w:jc w:val="both"/>
        <w:textAlignment w:val="baseline"/>
        <w:rPr>
          <w:rFonts w:hint="default" w:ascii="Times New Roman" w:hAnsi="Times New Roman" w:eastAsia="楷体_GB2312" w:cs="Times New Roman"/>
          <w:b w:val="0"/>
          <w:bCs w:val="0"/>
          <w:color w:val="auto"/>
          <w:sz w:val="32"/>
          <w:szCs w:val="32"/>
          <w:highlight w:val="none"/>
          <w:u w:val="none"/>
          <w:lang w:val="en-US"/>
        </w:rPr>
      </w:pP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一</w:t>
      </w: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实施产业就业协同行动</w:t>
      </w:r>
    </w:p>
    <w:p w14:paraId="621413C6">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578" w:lineRule="exact"/>
        <w:ind w:left="0" w:leftChars="0" w:firstLine="643" w:firstLineChars="200"/>
        <w:jc w:val="both"/>
        <w:textAlignment w:val="baseline"/>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lang w:eastAsia="zh-CN"/>
        </w:rPr>
        <w:t>一是</w:t>
      </w:r>
      <w:r>
        <w:rPr>
          <w:rFonts w:hint="default" w:ascii="Times New Roman" w:hAnsi="Times New Roman" w:eastAsia="仿宋_GB2312" w:cs="Times New Roman"/>
          <w:b/>
          <w:bCs/>
          <w:color w:val="auto"/>
          <w:sz w:val="32"/>
          <w:szCs w:val="32"/>
          <w:highlight w:val="none"/>
          <w:u w:val="none"/>
          <w:lang w:val="en-US" w:eastAsia="zh-CN"/>
        </w:rPr>
        <w:t>构建产业就业协同发展新范式</w:t>
      </w:r>
      <w:r>
        <w:rPr>
          <w:rFonts w:hint="default" w:ascii="Times New Roman" w:hAnsi="Times New Roman" w:eastAsia="仿宋_GB2312" w:cs="Times New Roman"/>
          <w:b/>
          <w:bCs/>
          <w:color w:val="auto"/>
          <w:sz w:val="32"/>
          <w:szCs w:val="32"/>
          <w:highlight w:val="none"/>
          <w:u w:val="none"/>
        </w:rPr>
        <w:t>。</w:t>
      </w:r>
      <w:r>
        <w:rPr>
          <w:rFonts w:hint="default" w:ascii="Times New Roman" w:hAnsi="Times New Roman" w:eastAsia="仿宋_GB2312" w:cs="Times New Roman"/>
          <w:color w:val="auto"/>
          <w:sz w:val="32"/>
          <w:szCs w:val="32"/>
          <w:highlight w:val="none"/>
          <w:u w:val="none"/>
        </w:rPr>
        <w:t>坚持“就业长在产业上，培训跟着就业走”，</w:t>
      </w:r>
      <w:r>
        <w:rPr>
          <w:rFonts w:hint="default" w:ascii="Times New Roman" w:hAnsi="Times New Roman" w:eastAsia="仿宋_GB2312" w:cs="Times New Roman"/>
          <w:b w:val="0"/>
          <w:bCs w:val="0"/>
          <w:color w:val="auto"/>
          <w:sz w:val="32"/>
          <w:szCs w:val="32"/>
          <w:highlight w:val="none"/>
          <w:u w:val="none"/>
          <w:lang w:val="en-US" w:eastAsia="zh-CN"/>
        </w:rPr>
        <w:t>建立宏观政策就业影响评估机制，</w:t>
      </w:r>
      <w:r>
        <w:rPr>
          <w:rFonts w:hint="default" w:ascii="Times New Roman" w:hAnsi="Times New Roman" w:eastAsia="仿宋_GB2312" w:cs="Times New Roman"/>
          <w:color w:val="auto"/>
          <w:sz w:val="32"/>
          <w:szCs w:val="32"/>
          <w:highlight w:val="none"/>
          <w:u w:val="none"/>
        </w:rPr>
        <w:t>聚焦全市重点产业链，围绕先进制造业产业园区建设10个公共就业服务站，每年挖掘发布就业岗位不少于5万个。全面落实劳动者自主就业、市场调节就业、政府促进就业和鼓励创业方针，构建产业链、人才链、平台链、服务链协同的就业促进机制，力争“十五五”末城镇新就业25万人以上。</w:t>
      </w:r>
    </w:p>
    <w:p w14:paraId="1EA6D311">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578" w:lineRule="exact"/>
        <w:ind w:left="0" w:leftChars="0" w:firstLine="643" w:firstLineChars="200"/>
        <w:jc w:val="both"/>
        <w:textAlignment w:val="baseline"/>
        <w:rPr>
          <w:rFonts w:hint="default" w:ascii="Times New Roman" w:hAnsi="Times New Roman" w:eastAsia="仿宋_GB2312" w:cs="Times New Roman"/>
          <w:color w:val="auto"/>
          <w:kern w:val="0"/>
          <w:sz w:val="32"/>
          <w:szCs w:val="32"/>
          <w:highlight w:val="none"/>
          <w:u w:val="none"/>
          <w:lang w:val="en-US" w:eastAsia="zh-CN" w:bidi="ar"/>
        </w:rPr>
      </w:pPr>
      <w:r>
        <w:rPr>
          <w:rFonts w:hint="default" w:ascii="Times New Roman" w:hAnsi="Times New Roman" w:eastAsia="仿宋_GB2312" w:cs="Times New Roman"/>
          <w:b/>
          <w:bCs/>
          <w:color w:val="auto"/>
          <w:sz w:val="32"/>
          <w:szCs w:val="32"/>
          <w:highlight w:val="none"/>
          <w:u w:val="none"/>
          <w:lang w:val="en-US" w:eastAsia="zh-CN"/>
        </w:rPr>
        <w:t>二</w:t>
      </w:r>
      <w:r>
        <w:rPr>
          <w:rFonts w:hint="default" w:ascii="Times New Roman" w:hAnsi="Times New Roman" w:eastAsia="仿宋_GB2312" w:cs="Times New Roman"/>
          <w:b/>
          <w:bCs/>
          <w:color w:val="auto"/>
          <w:sz w:val="32"/>
          <w:szCs w:val="32"/>
          <w:highlight w:val="none"/>
          <w:u w:val="none"/>
          <w:lang w:eastAsia="zh-CN"/>
        </w:rPr>
        <w:t>是</w:t>
      </w:r>
      <w:r>
        <w:rPr>
          <w:rFonts w:hint="default" w:ascii="Times New Roman" w:hAnsi="Times New Roman" w:eastAsia="仿宋_GB2312" w:cs="Times New Roman"/>
          <w:b/>
          <w:bCs/>
          <w:color w:val="auto"/>
          <w:sz w:val="32"/>
          <w:szCs w:val="32"/>
          <w:highlight w:val="none"/>
          <w:u w:val="none"/>
          <w:lang w:val="en-US" w:eastAsia="zh-CN"/>
        </w:rPr>
        <w:t>发展新质生产力拓展就业新空间。</w:t>
      </w:r>
      <w:r>
        <w:rPr>
          <w:rFonts w:hint="default" w:ascii="Times New Roman" w:hAnsi="Times New Roman" w:eastAsia="仿宋_GB2312" w:cs="Times New Roman"/>
          <w:color w:val="auto"/>
          <w:kern w:val="0"/>
          <w:sz w:val="32"/>
          <w:szCs w:val="32"/>
          <w:highlight w:val="none"/>
          <w:u w:val="none"/>
          <w:lang w:val="en-US" w:eastAsia="zh-CN" w:bidi="ar"/>
        </w:rPr>
        <w:t>以科技创新驱动产业升级，依托高校院所资源，培育人工智能、集成电路、生命健康等前沿产业，开发科研助理、技术经纪人等新型岗位。实施“人工智能+就业”行动，建立高质量就业岗位资源库，开发大数据、智能制造等领域培训项目。推动科技服务、现代物流等生产性服务业向专业化、集成化升级，拓展新就业形态劳动者就业渠道，推动家政、康养、教育培训、文化娱乐、电商直播等生活性服务业提质转型，支持传统服务业数字化转型拓宽就业空间。</w:t>
      </w:r>
    </w:p>
    <w:tbl>
      <w:tblPr>
        <w:tblStyle w:val="13"/>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228D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04" w:type="dxa"/>
            <w:tcBorders>
              <w:top w:val="single" w:color="auto" w:sz="4" w:space="0"/>
              <w:left w:val="single" w:color="auto" w:sz="4" w:space="0"/>
              <w:bottom w:val="single" w:color="auto" w:sz="4" w:space="0"/>
              <w:right w:val="single" w:color="auto" w:sz="4" w:space="0"/>
            </w:tcBorders>
            <w:shd w:val="clear" w:color="auto" w:fill="D7D7D7" w:themeFill="background1" w:themeFillShade="D8"/>
            <w:noWrap w:val="0"/>
            <w:vAlign w:val="center"/>
          </w:tcPr>
          <w:p w14:paraId="21CCF5A1">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黑体" w:cs="Times New Roman"/>
                <w:color w:val="auto"/>
                <w:sz w:val="28"/>
                <w:szCs w:val="28"/>
                <w:highlight w:val="none"/>
                <w:u w:val="none"/>
                <w:lang w:val="en-US" w:eastAsia="zh-CN"/>
              </w:rPr>
            </w:pPr>
            <w:r>
              <w:rPr>
                <w:rFonts w:hint="default" w:ascii="Times New Roman" w:hAnsi="Times New Roman" w:eastAsia="黑体" w:cs="Times New Roman"/>
                <w:color w:val="auto"/>
                <w:sz w:val="28"/>
                <w:szCs w:val="28"/>
                <w:highlight w:val="none"/>
                <w:u w:val="none"/>
                <w:lang w:val="en-US" w:eastAsia="zh-CN"/>
              </w:rPr>
              <w:t>专栏</w:t>
            </w:r>
            <w:r>
              <w:rPr>
                <w:rFonts w:hint="eastAsia" w:ascii="Times New Roman" w:hAnsi="Times New Roman" w:eastAsia="黑体" w:cs="Times New Roman"/>
                <w:color w:val="auto"/>
                <w:sz w:val="28"/>
                <w:szCs w:val="28"/>
                <w:highlight w:val="none"/>
                <w:u w:val="none"/>
                <w:lang w:val="en-US" w:eastAsia="zh-CN"/>
              </w:rPr>
              <w:t>2</w:t>
            </w:r>
            <w:r>
              <w:rPr>
                <w:rFonts w:hint="default" w:ascii="Times New Roman" w:hAnsi="Times New Roman" w:eastAsia="黑体" w:cs="Times New Roman"/>
                <w:color w:val="auto"/>
                <w:sz w:val="28"/>
                <w:szCs w:val="28"/>
                <w:highlight w:val="none"/>
                <w:u w:val="none"/>
                <w:lang w:val="en-US" w:eastAsia="zh-CN"/>
              </w:rPr>
              <w:t>：</w:t>
            </w:r>
            <w:r>
              <w:rPr>
                <w:rFonts w:hint="default" w:ascii="Times New Roman" w:hAnsi="Times New Roman" w:eastAsia="黑体" w:cs="Times New Roman"/>
                <w:color w:val="auto"/>
                <w:kern w:val="0"/>
                <w:sz w:val="28"/>
                <w:szCs w:val="28"/>
                <w:highlight w:val="none"/>
                <w:u w:val="none"/>
                <w:lang w:val="en-US" w:eastAsia="zh-CN" w:bidi="ar"/>
              </w:rPr>
              <w:t>就业扩容提质行动</w:t>
            </w:r>
          </w:p>
        </w:tc>
      </w:tr>
      <w:tr w14:paraId="3C58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04" w:type="dxa"/>
            <w:tcBorders>
              <w:top w:val="single" w:color="auto" w:sz="4" w:space="0"/>
              <w:left w:val="single" w:color="auto" w:sz="4" w:space="0"/>
              <w:bottom w:val="single" w:color="auto" w:sz="4" w:space="0"/>
              <w:right w:val="single" w:color="auto" w:sz="4" w:space="0"/>
            </w:tcBorders>
            <w:noWrap w:val="0"/>
            <w:vAlign w:val="center"/>
          </w:tcPr>
          <w:p w14:paraId="0CA83B9A">
            <w:pPr>
              <w:pStyle w:val="6"/>
              <w:keepNext w:val="0"/>
              <w:keepLines w:val="0"/>
              <w:pageBreakBefore w:val="0"/>
              <w:widowControl w:val="0"/>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深入实施“新黄石人”计划。在“免费住、低价租、优惠购”住房保障政策基础上，迭代升级“新黄石人”5.0，在工匠评选、人才评价、职称评定等领域给予政策倾斜，打造来黄就业创业补贴政策“组合拳”，实现跨部门“免申即享”，每年新增“新黄石人”2万人以上。</w:t>
            </w:r>
          </w:p>
          <w:p w14:paraId="496989E8">
            <w:pPr>
              <w:pStyle w:val="6"/>
              <w:keepNext w:val="0"/>
              <w:keepLines w:val="0"/>
              <w:pageBreakBefore w:val="0"/>
              <w:widowControl w:val="0"/>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实施高校毕业生“青春筑梦黄石”计划。升级打造“就在1907”就业创业基地，打造青年一站式创业社区，推动“青春飞扬·智汇黄石行”向省外延伸。实施创业导师倍增、城市创新伙伴等计划，每年新增高校毕业生来黄留黄就业创业2万人以上。</w:t>
            </w:r>
          </w:p>
          <w:p w14:paraId="606ECBFD">
            <w:pPr>
              <w:pStyle w:val="6"/>
              <w:keepNext w:val="0"/>
              <w:keepLines w:val="0"/>
              <w:pageBreakBefore w:val="0"/>
              <w:widowControl w:val="0"/>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开展外出务工人员返乡创业行动。开展“我兴楚乡·创在湖北”“‘燕’聚东楚·‘链’上黄石”“磁湖筑梦·归雁领航”等系列返乡创业活动，选树创业典型，加大创业政策宣传。推动创业资源整合，建设一批拎包入住式返乡创业园、街区，每年吸引外出务工人员回流1.5万人以上。</w:t>
            </w:r>
          </w:p>
          <w:p w14:paraId="2D1008D9">
            <w:pPr>
              <w:pStyle w:val="6"/>
              <w:keepNext w:val="0"/>
              <w:keepLines w:val="0"/>
              <w:pageBreakBefore w:val="0"/>
              <w:widowControl w:val="0"/>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4.实施重点产业链就业扩容提质行动。因地制宜发展新质生产力，培育壮大光电子信息、生物医药、新能源和智能网联汽车等战略性新兴产业，前瞻布局人工智能等未来产业，创造更多高质量就业岗位。</w:t>
            </w:r>
          </w:p>
          <w:p w14:paraId="39C033B0">
            <w:pPr>
              <w:pStyle w:val="6"/>
              <w:keepNext w:val="0"/>
              <w:keepLines w:val="0"/>
              <w:pageBreakBefore w:val="0"/>
              <w:widowControl w:val="0"/>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24"/>
                <w:szCs w:val="24"/>
                <w:highlight w:val="none"/>
                <w:u w:val="none"/>
                <w:lang w:val="en-US" w:eastAsia="zh-CN" w:bidi="ar-SA"/>
              </w:rPr>
              <w:t>5.实施公共就业服务进校园项目。推广“校园24小时就业驿站”建设，在黄石四所高校建设约1000平方米实体站点，设置AI职业辅导等功能区，构建智慧就业服务体系。常态化开展“智慧黄石高校行”“黄石就业行”等活动，依托AI构建学生能力与产业需求“双画像”。</w:t>
            </w:r>
          </w:p>
        </w:tc>
      </w:tr>
    </w:tbl>
    <w:p w14:paraId="4A835A69">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left="0" w:leftChars="0" w:firstLine="643" w:firstLineChars="200"/>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三</w:t>
      </w:r>
      <w:r>
        <w:rPr>
          <w:rFonts w:hint="default" w:ascii="Times New Roman" w:hAnsi="Times New Roman" w:eastAsia="仿宋_GB2312" w:cs="Times New Roman"/>
          <w:b/>
          <w:bCs/>
          <w:color w:val="auto"/>
          <w:sz w:val="32"/>
          <w:szCs w:val="32"/>
          <w:highlight w:val="none"/>
          <w:u w:val="none"/>
          <w:lang w:eastAsia="zh-CN"/>
        </w:rPr>
        <w:t>是</w:t>
      </w:r>
      <w:r>
        <w:rPr>
          <w:rFonts w:hint="default" w:ascii="Times New Roman" w:hAnsi="Times New Roman" w:eastAsia="仿宋_GB2312" w:cs="Times New Roman"/>
          <w:b/>
          <w:bCs/>
          <w:color w:val="auto"/>
          <w:sz w:val="32"/>
          <w:szCs w:val="32"/>
          <w:highlight w:val="none"/>
          <w:u w:val="none"/>
          <w:lang w:val="en-US" w:eastAsia="zh-CN"/>
        </w:rPr>
        <w:t>推动人力资源服务业与制造业融合发展。</w:t>
      </w:r>
      <w:r>
        <w:rPr>
          <w:rFonts w:hint="default" w:ascii="Times New Roman" w:hAnsi="Times New Roman" w:eastAsia="仿宋_GB2312" w:cs="Times New Roman"/>
          <w:color w:val="auto"/>
          <w:sz w:val="32"/>
          <w:szCs w:val="32"/>
          <w:highlight w:val="none"/>
          <w:u w:val="none"/>
          <w:lang w:val="en-US" w:eastAsia="zh-CN"/>
        </w:rPr>
        <w:t>推动人力资源服务业与制造业融合发展。加快省级鄂东人力资源服务产业园“一园多区”布局，入驻优质机构超100家，打造产业链用工服务中心。培育本土龙头产业集群，探索产业适配型精准外包服务模式，围绕PCB、汽车电子等优势产业提供全链条外包服务。培育专注“灵活就业+养老服务”的人力资源机构，加强诚信体系建设，“十五五”末本地机构合规经营率达98%。</w:t>
      </w:r>
    </w:p>
    <w:tbl>
      <w:tblPr>
        <w:tblStyle w:val="13"/>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38A3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04" w:type="dxa"/>
            <w:tcBorders>
              <w:top w:val="single" w:color="auto" w:sz="4" w:space="0"/>
              <w:left w:val="single" w:color="auto" w:sz="4" w:space="0"/>
              <w:bottom w:val="single" w:color="auto" w:sz="4" w:space="0"/>
              <w:right w:val="single" w:color="auto" w:sz="4" w:space="0"/>
            </w:tcBorders>
            <w:shd w:val="clear" w:color="auto" w:fill="D7D7D7" w:themeFill="background1" w:themeFillShade="D8"/>
            <w:noWrap w:val="0"/>
            <w:vAlign w:val="center"/>
          </w:tcPr>
          <w:p w14:paraId="434E2B11">
            <w:pPr>
              <w:pStyle w:val="8"/>
              <w:keepNext w:val="0"/>
              <w:keepLines w:val="0"/>
              <w:pageBreakBefore w:val="0"/>
              <w:widowControl w:val="0"/>
              <w:shd w:val="clear" w:color="auto" w:fill="auto"/>
              <w:kinsoku/>
              <w:wordWrap/>
              <w:overflowPunct w:val="0"/>
              <w:topLinePunct w:val="0"/>
              <w:autoSpaceDE/>
              <w:autoSpaceDN/>
              <w:bidi w:val="0"/>
              <w:adjustRightInd w:val="0"/>
              <w:snapToGrid w:val="0"/>
              <w:spacing w:line="240" w:lineRule="auto"/>
              <w:jc w:val="center"/>
              <w:textAlignment w:val="baseline"/>
              <w:rPr>
                <w:rFonts w:hint="default" w:ascii="Times New Roman" w:hAnsi="Times New Roman" w:eastAsia="黑体" w:cs="Times New Roman"/>
                <w:color w:val="auto"/>
                <w:kern w:val="2"/>
                <w:sz w:val="28"/>
                <w:szCs w:val="28"/>
                <w:highlight w:val="none"/>
                <w:u w:val="none"/>
                <w:lang w:val="en-US" w:eastAsia="zh-CN" w:bidi="ar-SA"/>
              </w:rPr>
            </w:pPr>
            <w:r>
              <w:rPr>
                <w:rFonts w:hint="default" w:ascii="Times New Roman" w:hAnsi="Times New Roman" w:eastAsia="黑体" w:cs="Times New Roman"/>
                <w:color w:val="auto"/>
                <w:kern w:val="2"/>
                <w:sz w:val="28"/>
                <w:szCs w:val="28"/>
                <w:highlight w:val="none"/>
                <w:u w:val="none"/>
                <w:lang w:val="en-US" w:eastAsia="zh-CN" w:bidi="ar-SA"/>
              </w:rPr>
              <w:t>专栏</w:t>
            </w:r>
            <w:r>
              <w:rPr>
                <w:rFonts w:hint="eastAsia" w:ascii="Times New Roman" w:hAnsi="Times New Roman" w:eastAsia="黑体" w:cs="Times New Roman"/>
                <w:color w:val="auto"/>
                <w:kern w:val="2"/>
                <w:sz w:val="28"/>
                <w:szCs w:val="28"/>
                <w:highlight w:val="none"/>
                <w:u w:val="none"/>
                <w:lang w:val="en-US" w:eastAsia="zh-CN" w:bidi="ar-SA"/>
              </w:rPr>
              <w:t>3</w:t>
            </w:r>
            <w:r>
              <w:rPr>
                <w:rFonts w:hint="default" w:ascii="Times New Roman" w:hAnsi="Times New Roman" w:eastAsia="黑体" w:cs="Times New Roman"/>
                <w:color w:val="auto"/>
                <w:kern w:val="2"/>
                <w:sz w:val="28"/>
                <w:szCs w:val="28"/>
                <w:highlight w:val="none"/>
                <w:u w:val="none"/>
                <w:lang w:val="en-US" w:eastAsia="zh-CN" w:bidi="ar-SA"/>
              </w:rPr>
              <w:t>：人力资源服务能力提升行动</w:t>
            </w:r>
          </w:p>
        </w:tc>
      </w:tr>
      <w:tr w14:paraId="66F8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0" w:hRule="atLeast"/>
          <w:jc w:val="center"/>
        </w:trPr>
        <w:tc>
          <w:tcPr>
            <w:tcW w:w="8504" w:type="dxa"/>
            <w:tcBorders>
              <w:top w:val="single" w:color="auto" w:sz="4" w:space="0"/>
              <w:left w:val="single" w:color="auto" w:sz="4" w:space="0"/>
              <w:bottom w:val="single" w:color="auto" w:sz="4" w:space="0"/>
              <w:right w:val="single" w:color="auto" w:sz="4" w:space="0"/>
            </w:tcBorders>
            <w:noWrap w:val="0"/>
            <w:vAlign w:val="center"/>
          </w:tcPr>
          <w:p w14:paraId="05A0DE80">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40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实施人力资源服务业高质量发展突破工程。以“产业适配、价值共创”为核心，推动人力资源服务业从“传统服务”向“全链赋能”转型。构建“1+N+10”双链融合生态（1个鄂东人力资源产业园核心极、N个“一园多区”协同节点、10条优势产业链服务专线），规上人力资源企业增至55家，培育1-2家营收超5亿元的行业头部机构。</w:t>
            </w:r>
          </w:p>
          <w:p w14:paraId="1B2AE22A">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40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打造“产业链用工服务中心”。依托省级鄂东产业园“一园N区”布局，在开铁区、大冶湖高新区探索打造产业链用工服务中心，聚焦光电子、汽车、高端制造等重点产业链，推动链主企业与人力资源服务领军企业联合建设产学研协同培育基地，探索产业适配型精准外包服务模式，“十五五”期间为制造业提供人力资源服务15万人次。</w:t>
            </w:r>
          </w:p>
        </w:tc>
      </w:tr>
    </w:tbl>
    <w:p w14:paraId="4E4A1AB3">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578" w:lineRule="exact"/>
        <w:ind w:firstLine="640" w:firstLineChars="200"/>
        <w:jc w:val="both"/>
        <w:textAlignment w:val="baseline"/>
        <w:rPr>
          <w:rFonts w:hint="default" w:ascii="Times New Roman" w:hAnsi="Times New Roman" w:eastAsia="楷体_GB2312" w:cs="Times New Roman"/>
          <w:b w:val="0"/>
          <w:bCs w:val="0"/>
          <w:color w:val="auto"/>
          <w:sz w:val="32"/>
          <w:szCs w:val="32"/>
          <w:highlight w:val="none"/>
          <w:u w:val="none"/>
          <w:lang w:val="en-US"/>
        </w:rPr>
      </w:pP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二</w:t>
      </w: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实施就业创业服务生态优化行动</w:t>
      </w:r>
    </w:p>
    <w:p w14:paraId="7ECF708C">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一</w:t>
      </w:r>
      <w:r>
        <w:rPr>
          <w:rFonts w:hint="default" w:ascii="Times New Roman" w:hAnsi="Times New Roman" w:eastAsia="仿宋_GB2312" w:cs="Times New Roman"/>
          <w:b/>
          <w:bCs/>
          <w:color w:val="auto"/>
          <w:sz w:val="32"/>
          <w:szCs w:val="32"/>
          <w:highlight w:val="none"/>
          <w:u w:val="none"/>
          <w:lang w:eastAsia="zh-CN"/>
        </w:rPr>
        <w:t>是</w:t>
      </w:r>
      <w:r>
        <w:rPr>
          <w:rFonts w:hint="default" w:ascii="Times New Roman" w:hAnsi="Times New Roman" w:eastAsia="仿宋_GB2312" w:cs="Times New Roman"/>
          <w:b/>
          <w:bCs/>
          <w:color w:val="auto"/>
          <w:sz w:val="32"/>
          <w:szCs w:val="32"/>
          <w:highlight w:val="none"/>
          <w:u w:val="none"/>
          <w:lang w:val="en-US" w:eastAsia="zh-CN"/>
        </w:rPr>
        <w:t>打造全域</w:t>
      </w:r>
      <w:r>
        <w:rPr>
          <w:rFonts w:hint="default" w:ascii="Times New Roman" w:hAnsi="Times New Roman" w:eastAsia="仿宋_GB2312" w:cs="Times New Roman"/>
          <w:b/>
          <w:bCs/>
          <w:color w:val="auto"/>
          <w:sz w:val="32"/>
          <w:szCs w:val="32"/>
          <w:highlight w:val="none"/>
          <w:u w:val="none"/>
          <w:lang w:eastAsia="zh-CN"/>
        </w:rPr>
        <w:t>“链式”就业服务</w:t>
      </w:r>
      <w:r>
        <w:rPr>
          <w:rFonts w:hint="default" w:ascii="Times New Roman" w:hAnsi="Times New Roman" w:eastAsia="仿宋_GB2312" w:cs="Times New Roman"/>
          <w:b/>
          <w:bCs/>
          <w:color w:val="auto"/>
          <w:sz w:val="32"/>
          <w:szCs w:val="32"/>
          <w:highlight w:val="none"/>
          <w:u w:val="none"/>
          <w:lang w:val="en-US" w:eastAsia="zh-CN"/>
        </w:rPr>
        <w:t>新生态</w:t>
      </w:r>
      <w:r>
        <w:rPr>
          <w:rFonts w:hint="default" w:ascii="Times New Roman" w:hAnsi="Times New Roman" w:eastAsia="仿宋_GB2312" w:cs="Times New Roman"/>
          <w:b/>
          <w:bCs/>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eastAsia="zh-CN"/>
        </w:rPr>
        <w:t>深入实施国家、省公共就业服务能力提升示范项目，构建“四链融合”2.0就业服务体系。科学布局“家门口”就业服务站、零工驿站、产业园区就业服务站、县乡村三级产业用工平台等基层服务平台。构建“1+7+N”智慧就业矩阵（1个市级数智就业平台、7个县区级数据枢纽、N个基层应用节点），打造“需求秒抓取—政策秒推送—服务秒触达”闭环模式。加强基层就业服务队伍建设，完善重点群体就业信息动态更新机制。</w:t>
      </w:r>
    </w:p>
    <w:p w14:paraId="68770530">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color w:val="auto"/>
          <w:sz w:val="32"/>
          <w:szCs w:val="32"/>
          <w:highlight w:val="none"/>
          <w:u w:val="none"/>
          <w:lang w:val="en-US" w:eastAsia="zh-CN" w:bidi="ar-SA"/>
        </w:rPr>
      </w:pPr>
      <w:r>
        <w:rPr>
          <w:rFonts w:hint="default" w:ascii="Times New Roman" w:hAnsi="Times New Roman" w:eastAsia="仿宋_GB2312" w:cs="Times New Roman"/>
          <w:b/>
          <w:bCs/>
          <w:color w:val="auto"/>
          <w:sz w:val="32"/>
          <w:szCs w:val="32"/>
          <w:highlight w:val="none"/>
          <w:u w:val="none"/>
          <w:lang w:val="en-US" w:eastAsia="zh-CN"/>
        </w:rPr>
        <w:t>二</w:t>
      </w:r>
      <w:r>
        <w:rPr>
          <w:rFonts w:hint="default" w:ascii="Times New Roman" w:hAnsi="Times New Roman" w:eastAsia="仿宋_GB2312" w:cs="Times New Roman"/>
          <w:b/>
          <w:bCs/>
          <w:color w:val="auto"/>
          <w:sz w:val="32"/>
          <w:szCs w:val="32"/>
          <w:highlight w:val="none"/>
          <w:u w:val="none"/>
          <w:lang w:eastAsia="zh-CN"/>
        </w:rPr>
        <w:t>是</w:t>
      </w:r>
      <w:r>
        <w:rPr>
          <w:rFonts w:hint="default" w:ascii="Times New Roman" w:hAnsi="Times New Roman" w:eastAsia="仿宋_GB2312" w:cs="Times New Roman"/>
          <w:b/>
          <w:bCs/>
          <w:color w:val="auto"/>
          <w:sz w:val="32"/>
          <w:szCs w:val="32"/>
          <w:highlight w:val="none"/>
          <w:u w:val="none"/>
          <w:lang w:val="en-US" w:eastAsia="zh-CN"/>
        </w:rPr>
        <w:t>升级“全周期”</w:t>
      </w:r>
      <w:r>
        <w:rPr>
          <w:rFonts w:hint="default" w:ascii="Times New Roman" w:hAnsi="Times New Roman" w:eastAsia="仿宋_GB2312" w:cs="Times New Roman"/>
          <w:b/>
          <w:bCs/>
          <w:color w:val="auto"/>
          <w:sz w:val="32"/>
          <w:szCs w:val="32"/>
          <w:highlight w:val="none"/>
          <w:u w:val="none"/>
          <w:lang w:eastAsia="zh-CN"/>
        </w:rPr>
        <w:t>就业创业支持体系。</w:t>
      </w:r>
      <w:r>
        <w:rPr>
          <w:rFonts w:hint="default" w:ascii="Times New Roman" w:hAnsi="Times New Roman" w:eastAsia="仿宋_GB2312" w:cs="Times New Roman"/>
          <w:color w:val="auto"/>
          <w:sz w:val="32"/>
          <w:szCs w:val="32"/>
          <w:highlight w:val="none"/>
          <w:u w:val="none"/>
          <w:lang w:val="en-US" w:eastAsia="zh-CN" w:bidi="ar-SA"/>
        </w:rPr>
        <w:t>加大市场化、政策性岗位供给，每年引导开发大学生就业岗位3万个以上。深化“青春飞扬·智汇黄石行”等活动，建优“青年驿站”，建设来黄大学生储备人才库。实施“千店万户”就业创业专项扶持计划，聚焦“一站式摆摊、一站式开店、一站式开公司”三类场景，构建平台、对象、政策、服务、氛围“五位一体”创业扶持体系。实施创业培训“马兰花”计划，整合培育一批省市级返乡创业园区（基地、街区），争创高能级、卓越级孵化器。</w:t>
      </w:r>
    </w:p>
    <w:p w14:paraId="074FC62E">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kern w:val="2"/>
          <w:sz w:val="32"/>
          <w:szCs w:val="32"/>
          <w:highlight w:val="none"/>
          <w:u w:val="none"/>
          <w:lang w:val="en-US" w:eastAsia="zh-CN" w:bidi="ar-SA"/>
        </w:rPr>
        <w:t>三是构建重点群体分级分类就业帮扶体系。</w:t>
      </w:r>
      <w:r>
        <w:rPr>
          <w:rFonts w:hint="default" w:ascii="Times New Roman" w:hAnsi="Times New Roman" w:eastAsia="仿宋_GB2312" w:cs="Times New Roman"/>
          <w:color w:val="auto"/>
          <w:sz w:val="32"/>
          <w:szCs w:val="32"/>
          <w:highlight w:val="none"/>
          <w:u w:val="none"/>
          <w:lang w:val="en-US" w:eastAsia="zh-CN"/>
        </w:rPr>
        <w:t>运用数智就业平台，创新重点群体红、黄、蓝“三色图”分级分类管理，精准提供“1131”服务，统筹做好失业人员、妇女、残疾人、退役军人、刑满释放安置帮教对象、社区矫正对象、零就业家庭等重点群体就业帮扶，实现零就业家庭动态清零。深化重点群体“训－证－岗”一体化闭环服务模式，培训后就业创业转化率不低于30%。</w:t>
      </w:r>
    </w:p>
    <w:tbl>
      <w:tblPr>
        <w:tblStyle w:val="1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901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22" w:type="dxa"/>
            <w:tcBorders>
              <w:top w:val="single" w:color="auto" w:sz="4" w:space="0"/>
              <w:left w:val="single" w:color="auto" w:sz="4" w:space="0"/>
              <w:bottom w:val="single" w:color="auto" w:sz="4" w:space="0"/>
              <w:right w:val="single" w:color="auto" w:sz="4" w:space="0"/>
            </w:tcBorders>
            <w:shd w:val="clear" w:color="auto" w:fill="D7D7D7" w:themeFill="background1" w:themeFillShade="D8"/>
            <w:noWrap w:val="0"/>
            <w:vAlign w:val="center"/>
          </w:tcPr>
          <w:p w14:paraId="64BE0155">
            <w:pPr>
              <w:pStyle w:val="8"/>
              <w:keepNext w:val="0"/>
              <w:keepLines w:val="0"/>
              <w:pageBreakBefore w:val="0"/>
              <w:widowControl w:val="0"/>
              <w:shd w:val="clear" w:color="auto" w:fill="auto"/>
              <w:kinsoku/>
              <w:wordWrap/>
              <w:overflowPunct w:val="0"/>
              <w:topLinePunct w:val="0"/>
              <w:autoSpaceDE/>
              <w:autoSpaceDN/>
              <w:bidi w:val="0"/>
              <w:adjustRightInd w:val="0"/>
              <w:snapToGrid w:val="0"/>
              <w:spacing w:line="440" w:lineRule="exact"/>
              <w:jc w:val="center"/>
              <w:textAlignment w:val="baseline"/>
              <w:rPr>
                <w:rFonts w:hint="default" w:ascii="Times New Roman" w:hAnsi="Times New Roman" w:eastAsia="黑体" w:cs="Times New Roman"/>
                <w:color w:val="auto"/>
                <w:sz w:val="28"/>
                <w:szCs w:val="28"/>
                <w:highlight w:val="none"/>
                <w:u w:val="none"/>
                <w:lang w:val="en-US" w:eastAsia="zh-CN"/>
              </w:rPr>
            </w:pPr>
            <w:r>
              <w:rPr>
                <w:rFonts w:hint="default" w:ascii="Times New Roman" w:hAnsi="Times New Roman" w:eastAsia="黑体" w:cs="Times New Roman"/>
                <w:color w:val="auto"/>
                <w:sz w:val="28"/>
                <w:szCs w:val="28"/>
                <w:highlight w:val="none"/>
                <w:u w:val="none"/>
                <w:lang w:val="en-US" w:eastAsia="zh-CN"/>
              </w:rPr>
              <w:t>专栏</w:t>
            </w:r>
            <w:r>
              <w:rPr>
                <w:rFonts w:hint="eastAsia" w:ascii="Times New Roman" w:hAnsi="Times New Roman" w:eastAsia="黑体" w:cs="Times New Roman"/>
                <w:color w:val="auto"/>
                <w:sz w:val="28"/>
                <w:szCs w:val="28"/>
                <w:highlight w:val="none"/>
                <w:u w:val="none"/>
                <w:lang w:val="en-US" w:eastAsia="zh-CN"/>
              </w:rPr>
              <w:t>4</w:t>
            </w:r>
            <w:r>
              <w:rPr>
                <w:rFonts w:hint="default" w:ascii="Times New Roman" w:hAnsi="Times New Roman" w:eastAsia="黑体" w:cs="Times New Roman"/>
                <w:color w:val="auto"/>
                <w:sz w:val="28"/>
                <w:szCs w:val="28"/>
                <w:highlight w:val="none"/>
                <w:u w:val="none"/>
                <w:lang w:val="en-US" w:eastAsia="zh-CN"/>
              </w:rPr>
              <w:t>：公共就业创业能力提升行动</w:t>
            </w:r>
          </w:p>
        </w:tc>
      </w:tr>
      <w:tr w14:paraId="250D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8522" w:type="dxa"/>
            <w:tcBorders>
              <w:top w:val="single" w:color="auto" w:sz="4" w:space="0"/>
              <w:left w:val="single" w:color="auto" w:sz="4" w:space="0"/>
              <w:bottom w:val="single" w:color="auto" w:sz="4" w:space="0"/>
              <w:right w:val="single" w:color="auto" w:sz="4" w:space="0"/>
            </w:tcBorders>
            <w:noWrap w:val="0"/>
            <w:vAlign w:val="top"/>
          </w:tcPr>
          <w:p w14:paraId="65D7B026">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40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1.争取创建全国高质量充分就业示范地区。强化就业优先导向，优化就业政策与服务高品质供给，加快构建就业友好型发展方式，争取全省第一批创建高质量充分就业示范地区和单位（基地）。</w:t>
            </w:r>
          </w:p>
          <w:p w14:paraId="360A301D">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40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2.县乡村三级用工平台项目。针对农村劳动力转移就业需求，县级设劳务中心、乡镇设服务站、村级设服务点，实现全市农村地区就业服务网络基本全覆盖。</w:t>
            </w:r>
          </w:p>
          <w:p w14:paraId="4B50E485">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40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3.返乡创业平台项目。“十五五”期间依托工业园区、农业园区和产业集聚区，至少建成21个返乡创业园区（基地、街区），促进返乡创业平台提档升级。</w:t>
            </w:r>
          </w:p>
          <w:p w14:paraId="6BF5A52D">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40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4.家门口就业服务站项目。整合零工驿站、社区服务网点等现有资源，优化升级100个家门口就业服务站，构建覆盖广泛、功能完善、服务高效的基层公共就业服务体系。</w:t>
            </w:r>
          </w:p>
          <w:p w14:paraId="02E61218">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40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5.劳务品牌建设项目。推进劳务品牌“一县一强品”建设，在政策、服务等方面大力扶持，强化劳务品牌促就业创业动能，推动产业融合发展。</w:t>
            </w:r>
          </w:p>
          <w:p w14:paraId="791D6B85">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line="400" w:lineRule="exact"/>
              <w:ind w:firstLine="480" w:firstLineChars="200"/>
              <w:jc w:val="both"/>
              <w:textAlignment w:val="baseline"/>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24"/>
                <w:szCs w:val="24"/>
                <w:highlight w:val="none"/>
                <w:u w:val="none"/>
                <w:lang w:val="en-US" w:eastAsia="zh-CN" w:bidi="ar-SA"/>
              </w:rPr>
              <w:t>6.数智就业平台建设项目。精准对接群众就业需求和企业用工需求，围绕“就业、创业、培训”三个一件事，建成黄石数智就业服务一体化平台，持续提升公共就业服务精细化、标准化水平。</w:t>
            </w:r>
          </w:p>
        </w:tc>
      </w:tr>
    </w:tbl>
    <w:p w14:paraId="77C52899">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jc w:val="both"/>
        <w:textAlignment w:val="baseline"/>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三</w:t>
      </w:r>
      <w:r>
        <w:rPr>
          <w:rFonts w:hint="default" w:ascii="Times New Roman" w:hAnsi="Times New Roman" w:eastAsia="楷体_GB2312" w:cs="Times New Roman"/>
          <w:b w:val="0"/>
          <w:bCs w:val="0"/>
          <w:color w:val="auto"/>
          <w:sz w:val="32"/>
          <w:szCs w:val="32"/>
          <w:highlight w:val="none"/>
          <w:u w:val="none"/>
          <w:lang w:eastAsia="zh-CN"/>
        </w:rPr>
        <w:t>）实施社会保障扩面提质</w:t>
      </w:r>
      <w:r>
        <w:rPr>
          <w:rFonts w:hint="default" w:ascii="Times New Roman" w:hAnsi="Times New Roman" w:eastAsia="楷体_GB2312" w:cs="Times New Roman"/>
          <w:b w:val="0"/>
          <w:bCs w:val="0"/>
          <w:color w:val="auto"/>
          <w:sz w:val="32"/>
          <w:szCs w:val="32"/>
          <w:highlight w:val="none"/>
          <w:u w:val="none"/>
          <w:lang w:val="en-US" w:eastAsia="zh-CN"/>
        </w:rPr>
        <w:t>行动</w:t>
      </w:r>
    </w:p>
    <w:p w14:paraId="34B7019C">
      <w:pPr>
        <w:keepNext w:val="0"/>
        <w:keepLines w:val="0"/>
        <w:pageBreakBefore w:val="0"/>
        <w:widowControl w:val="0"/>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一</w:t>
      </w:r>
      <w:r>
        <w:rPr>
          <w:rFonts w:hint="default" w:ascii="Times New Roman" w:hAnsi="Times New Roman" w:eastAsia="仿宋_GB2312" w:cs="Times New Roman"/>
          <w:b/>
          <w:bCs/>
          <w:color w:val="auto"/>
          <w:sz w:val="32"/>
          <w:szCs w:val="32"/>
          <w:highlight w:val="none"/>
          <w:u w:val="none"/>
          <w:lang w:eastAsia="zh-CN"/>
        </w:rPr>
        <w:t>是</w:t>
      </w:r>
      <w:r>
        <w:rPr>
          <w:rFonts w:hint="default" w:ascii="Times New Roman" w:hAnsi="Times New Roman" w:eastAsia="仿宋_GB2312" w:cs="Times New Roman"/>
          <w:b/>
          <w:bCs/>
          <w:color w:val="auto"/>
          <w:sz w:val="32"/>
          <w:szCs w:val="32"/>
          <w:highlight w:val="none"/>
          <w:u w:val="none"/>
          <w:lang w:val="en-US" w:eastAsia="zh-CN"/>
        </w:rPr>
        <w:t>打造</w:t>
      </w:r>
      <w:r>
        <w:rPr>
          <w:rFonts w:hint="default" w:ascii="Times New Roman" w:hAnsi="Times New Roman" w:eastAsia="仿宋_GB2312" w:cs="Times New Roman"/>
          <w:b/>
          <w:bCs/>
          <w:color w:val="auto"/>
          <w:sz w:val="32"/>
          <w:szCs w:val="32"/>
          <w:highlight w:val="none"/>
          <w:u w:val="none"/>
          <w:lang w:eastAsia="zh-CN"/>
        </w:rPr>
        <w:t>多层次</w:t>
      </w:r>
      <w:r>
        <w:rPr>
          <w:rFonts w:hint="default" w:ascii="Times New Roman" w:hAnsi="Times New Roman" w:eastAsia="仿宋_GB2312" w:cs="Times New Roman"/>
          <w:b/>
          <w:bCs/>
          <w:color w:val="auto"/>
          <w:sz w:val="32"/>
          <w:szCs w:val="32"/>
          <w:highlight w:val="none"/>
          <w:u w:val="none"/>
          <w:lang w:val="en-US" w:eastAsia="zh-CN"/>
        </w:rPr>
        <w:t>社会保障新格局</w:t>
      </w:r>
      <w:r>
        <w:rPr>
          <w:rFonts w:hint="default" w:ascii="Times New Roman" w:hAnsi="Times New Roman" w:eastAsia="仿宋_GB2312" w:cs="Times New Roman"/>
          <w:b/>
          <w:bCs/>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eastAsia="zh-CN"/>
        </w:rPr>
        <w:t>加快发展多层次、多支柱养老保险体系，落实基本养老保险、工伤保险全国统筹制度，加力落实失业保险援企稳岗政策。大力推进企业年金扩面提质，加强个人养老金政策宣传，不断扩大覆盖范围。完善社保待遇确定和调整机制，逐步提高退休人员基本养老金、城乡居民基础养老金和工伤保险待遇水平，</w:t>
      </w:r>
      <w:r>
        <w:rPr>
          <w:rFonts w:hint="default" w:ascii="Times New Roman" w:hAnsi="Times New Roman" w:eastAsia="仿宋_GB2312" w:cs="Times New Roman"/>
          <w:b w:val="0"/>
          <w:bCs w:val="0"/>
          <w:color w:val="auto"/>
          <w:sz w:val="32"/>
          <w:szCs w:val="32"/>
          <w:highlight w:val="none"/>
          <w:u w:val="none"/>
          <w:lang w:val="en-US" w:eastAsia="zh-CN"/>
        </w:rPr>
        <w:t>充分发挥社会保障促进共同富裕作用</w:t>
      </w:r>
      <w:r>
        <w:rPr>
          <w:rFonts w:hint="default" w:ascii="Times New Roman" w:hAnsi="Times New Roman" w:eastAsia="仿宋_GB2312" w:cs="Times New Roman"/>
          <w:b w:val="0"/>
          <w:bCs w:val="0"/>
          <w:color w:val="auto"/>
          <w:sz w:val="32"/>
          <w:szCs w:val="32"/>
          <w:highlight w:val="none"/>
          <w:u w:val="none"/>
          <w:lang w:eastAsia="zh-CN"/>
        </w:rPr>
        <w:t>。</w:t>
      </w:r>
    </w:p>
    <w:p w14:paraId="497FB1AE">
      <w:pPr>
        <w:keepNext w:val="0"/>
        <w:keepLines w:val="0"/>
        <w:pageBreakBefore w:val="0"/>
        <w:widowControl w:val="0"/>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二</w:t>
      </w:r>
      <w:r>
        <w:rPr>
          <w:rFonts w:hint="default" w:ascii="Times New Roman" w:hAnsi="Times New Roman" w:eastAsia="仿宋_GB2312" w:cs="Times New Roman"/>
          <w:b/>
          <w:bCs/>
          <w:color w:val="auto"/>
          <w:sz w:val="32"/>
          <w:szCs w:val="32"/>
          <w:highlight w:val="none"/>
          <w:u w:val="none"/>
          <w:lang w:eastAsia="zh-CN"/>
        </w:rPr>
        <w:t>是</w:t>
      </w:r>
      <w:r>
        <w:rPr>
          <w:rFonts w:hint="default" w:ascii="Times New Roman" w:hAnsi="Times New Roman" w:eastAsia="仿宋_GB2312" w:cs="Times New Roman"/>
          <w:b/>
          <w:bCs/>
          <w:color w:val="auto"/>
          <w:sz w:val="32"/>
          <w:szCs w:val="32"/>
          <w:highlight w:val="none"/>
          <w:u w:val="none"/>
          <w:lang w:val="en-US" w:eastAsia="zh-CN"/>
        </w:rPr>
        <w:t>推动全民参保动态精准全覆盖</w:t>
      </w:r>
      <w:r>
        <w:rPr>
          <w:rFonts w:hint="default" w:ascii="Times New Roman" w:hAnsi="Times New Roman" w:eastAsia="仿宋_GB2312" w:cs="Times New Roman"/>
          <w:b/>
          <w:bCs/>
          <w:color w:val="auto"/>
          <w:sz w:val="32"/>
          <w:szCs w:val="32"/>
          <w:highlight w:val="none"/>
          <w:u w:val="none"/>
        </w:rPr>
        <w:t>。</w:t>
      </w:r>
      <w:r>
        <w:rPr>
          <w:rFonts w:hint="default" w:ascii="Times New Roman" w:hAnsi="Times New Roman" w:eastAsia="仿宋_GB2312" w:cs="Times New Roman"/>
          <w:b w:val="0"/>
          <w:bCs w:val="0"/>
          <w:color w:val="auto"/>
          <w:sz w:val="32"/>
          <w:szCs w:val="32"/>
          <w:highlight w:val="none"/>
          <w:u w:val="none"/>
          <w:lang w:eastAsia="zh-CN"/>
        </w:rPr>
        <w:t>深入实施全民参保计划，聚焦灵活就业人员、农民工、新就业形态人员等重点群体，持续开展“数据找人”精准扩面专项行动。持续推进建设工程领域按项目参加工伤保险，落实国家超龄劳动者工伤保障政策，有序扩大新就业形态人员职业伤害保障试点。健全困难群体城乡居民养老保险政府代缴长效机制，确保应保尽保、应代尽代、待遇应享尽享。</w:t>
      </w:r>
    </w:p>
    <w:p w14:paraId="769C9DD5">
      <w:pPr>
        <w:keepNext w:val="0"/>
        <w:keepLines w:val="0"/>
        <w:pageBreakBefore w:val="0"/>
        <w:widowControl w:val="0"/>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b w:val="0"/>
          <w:bCs w:val="0"/>
          <w:color w:val="auto"/>
          <w:sz w:val="32"/>
          <w:szCs w:val="32"/>
          <w:highlight w:val="none"/>
          <w:u w:val="none"/>
          <w:lang w:eastAsia="zh-CN"/>
        </w:rPr>
      </w:pPr>
      <w:r>
        <w:rPr>
          <w:rFonts w:hint="default" w:ascii="Times New Roman" w:hAnsi="Times New Roman" w:eastAsia="仿宋_GB2312" w:cs="Times New Roman"/>
          <w:b/>
          <w:bCs/>
          <w:color w:val="auto"/>
          <w:sz w:val="32"/>
          <w:szCs w:val="32"/>
          <w:highlight w:val="none"/>
          <w:u w:val="none"/>
          <w:lang w:eastAsia="zh-CN"/>
        </w:rPr>
        <w:t>三是稳妥推进</w:t>
      </w:r>
      <w:r>
        <w:rPr>
          <w:rFonts w:hint="default" w:ascii="Times New Roman" w:hAnsi="Times New Roman" w:eastAsia="仿宋_GB2312" w:cs="Times New Roman"/>
          <w:b/>
          <w:bCs/>
          <w:color w:val="auto"/>
          <w:sz w:val="32"/>
          <w:szCs w:val="32"/>
          <w:highlight w:val="none"/>
          <w:u w:val="none"/>
          <w:lang w:val="en-US" w:eastAsia="zh-CN"/>
        </w:rPr>
        <w:t>社保</w:t>
      </w:r>
      <w:r>
        <w:rPr>
          <w:rFonts w:hint="default" w:ascii="Times New Roman" w:hAnsi="Times New Roman" w:eastAsia="仿宋_GB2312" w:cs="Times New Roman"/>
          <w:b/>
          <w:bCs/>
          <w:color w:val="auto"/>
          <w:sz w:val="32"/>
          <w:szCs w:val="32"/>
          <w:highlight w:val="none"/>
          <w:u w:val="none"/>
          <w:lang w:eastAsia="zh-CN"/>
        </w:rPr>
        <w:t>重点领域改革。</w:t>
      </w:r>
      <w:r>
        <w:rPr>
          <w:rFonts w:hint="default" w:ascii="Times New Roman" w:hAnsi="Times New Roman" w:eastAsia="仿宋_GB2312" w:cs="Times New Roman"/>
          <w:b w:val="0"/>
          <w:bCs w:val="0"/>
          <w:color w:val="auto"/>
          <w:sz w:val="32"/>
          <w:szCs w:val="32"/>
          <w:highlight w:val="none"/>
          <w:lang w:eastAsia="zh-CN"/>
        </w:rPr>
        <w:t>落实企业职工基本养老保险全国统筹制度，稳步实施渐进式延迟法定退休年龄改革，优化弹性退休、病残津贴等经办流程。扩大城乡居民养老保险集体经济补助试点范围，推广“个人缴费+集体补助+财政补贴”筹资模式。巩固工伤保险和失业保险省级统筹，落实工伤、失业保险费率调整机制。实施工伤预防、康复提质增效行动，探索实行补充工伤保险制度。</w:t>
      </w:r>
    </w:p>
    <w:p w14:paraId="4FF88A16">
      <w:pPr>
        <w:keepNext w:val="0"/>
        <w:keepLines w:val="0"/>
        <w:pageBreakBefore w:val="0"/>
        <w:widowControl w:val="0"/>
        <w:tabs>
          <w:tab w:val="left" w:pos="785"/>
        </w:tabs>
        <w:kinsoku/>
        <w:wordWrap/>
        <w:overflowPunct w:val="0"/>
        <w:topLinePunct w:val="0"/>
        <w:autoSpaceDE/>
        <w:autoSpaceDN/>
        <w:bidi w:val="0"/>
        <w:adjustRightInd w:val="0"/>
        <w:snapToGrid w:val="0"/>
        <w:spacing w:line="578" w:lineRule="exact"/>
        <w:ind w:firstLine="643" w:firstLineChars="200"/>
        <w:jc w:val="both"/>
        <w:textAlignment w:val="baseline"/>
        <w:rPr>
          <w:rFonts w:hint="default" w:ascii="Times New Roman" w:hAnsi="Times New Roman" w:eastAsia="仿宋_GB2312" w:cs="Times New Roman"/>
          <w:b w:val="0"/>
          <w:bCs w:val="0"/>
          <w:color w:val="auto"/>
          <w:sz w:val="32"/>
          <w:szCs w:val="32"/>
          <w:highlight w:val="none"/>
          <w:u w:val="none"/>
          <w:lang w:eastAsia="zh-CN"/>
        </w:rPr>
      </w:pPr>
      <w:r>
        <w:rPr>
          <w:rFonts w:hint="default" w:ascii="Times New Roman" w:hAnsi="Times New Roman" w:eastAsia="仿宋_GB2312" w:cs="Times New Roman"/>
          <w:b/>
          <w:bCs/>
          <w:color w:val="auto"/>
          <w:sz w:val="32"/>
          <w:szCs w:val="32"/>
          <w:highlight w:val="none"/>
          <w:u w:val="none"/>
          <w:lang w:eastAsia="zh-CN"/>
        </w:rPr>
        <w:t>四是</w:t>
      </w:r>
      <w:r>
        <w:rPr>
          <w:rFonts w:hint="default" w:ascii="Times New Roman" w:hAnsi="Times New Roman" w:eastAsia="仿宋_GB2312" w:cs="Times New Roman"/>
          <w:b/>
          <w:bCs/>
          <w:color w:val="auto"/>
          <w:sz w:val="32"/>
          <w:szCs w:val="32"/>
          <w:highlight w:val="none"/>
          <w:u w:val="none"/>
          <w:lang w:val="en-US" w:eastAsia="zh-CN"/>
        </w:rPr>
        <w:t>构建一体化经办服务模式</w:t>
      </w:r>
      <w:r>
        <w:rPr>
          <w:rFonts w:hint="default" w:ascii="Times New Roman" w:hAnsi="Times New Roman" w:eastAsia="仿宋_GB2312" w:cs="Times New Roman"/>
          <w:b/>
          <w:bCs/>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eastAsia="zh-CN"/>
        </w:rPr>
        <w:t>依托全国一体化社保公共服务平台和全省社保全险种一体化信息系统，整合各险种经办职能，构建多险合一、一窗受理、全程网办的经办模式。搭建社保数字驾驶舱，拓展大数据和AI技术在业务智办、服务智享、智能监管等场景应用，推进AI社保规划师、RPA机器人等智能项目建设。组建“社保规划师”、银发服务队，常态化开展社保服务进万家行动，建设便民服务网点，推动高频业务就近就便自助办理。</w:t>
      </w:r>
    </w:p>
    <w:p w14:paraId="2CA1336E">
      <w:pPr>
        <w:keepNext w:val="0"/>
        <w:keepLines w:val="0"/>
        <w:pageBreakBefore w:val="0"/>
        <w:widowControl w:val="0"/>
        <w:suppressLineNumbers w:val="0"/>
        <w:kinsoku/>
        <w:wordWrap/>
        <w:overflowPunct w:val="0"/>
        <w:topLinePunct w:val="0"/>
        <w:autoSpaceDE/>
        <w:autoSpaceDN/>
        <w:bidi w:val="0"/>
        <w:adjustRightInd w:val="0"/>
        <w:snapToGrid w:val="0"/>
        <w:spacing w:line="578" w:lineRule="exact"/>
        <w:ind w:left="0" w:leftChars="0" w:firstLine="643" w:firstLineChars="200"/>
        <w:jc w:val="both"/>
        <w:textAlignment w:val="baseline"/>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lang w:eastAsia="zh-CN"/>
        </w:rPr>
        <w:t>五是</w:t>
      </w:r>
      <w:r>
        <w:rPr>
          <w:rFonts w:hint="default" w:ascii="Times New Roman" w:hAnsi="Times New Roman" w:eastAsia="仿宋_GB2312" w:cs="Times New Roman"/>
          <w:b/>
          <w:bCs/>
          <w:color w:val="auto"/>
          <w:sz w:val="32"/>
          <w:szCs w:val="32"/>
          <w:highlight w:val="none"/>
          <w:u w:val="none"/>
          <w:lang w:val="en-US" w:eastAsia="zh-CN"/>
        </w:rPr>
        <w:t>健全全链条社保基金监管体系</w:t>
      </w:r>
      <w:r>
        <w:rPr>
          <w:rFonts w:hint="default" w:ascii="Times New Roman" w:hAnsi="Times New Roman" w:eastAsia="仿宋_GB2312" w:cs="Times New Roman"/>
          <w:b/>
          <w:bCs/>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完善社保基金预决算制度，巩固“五防”监管模式，构建风险防控大数据模型，推动疑点数据实时比对，精准识别虚假参保、冒领待遇等违规行为。探索建立违规参保享待负面清单制度，常态化开展全险种全域穿透式监管，健全社保经办与基金监督、行政司法衔接机制，依法打击欺诈骗保。</w:t>
      </w:r>
    </w:p>
    <w:tbl>
      <w:tblPr>
        <w:tblStyle w:val="22"/>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6D43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04" w:type="dxa"/>
            <w:shd w:val="clear" w:color="auto" w:fill="D7D7D7" w:themeFill="background1" w:themeFillShade="D8"/>
            <w:noWrap w:val="0"/>
            <w:vAlign w:val="center"/>
          </w:tcPr>
          <w:p w14:paraId="39D2F7FA">
            <w:pPr>
              <w:keepNext w:val="0"/>
              <w:keepLines w:val="0"/>
              <w:pageBreakBefore w:val="0"/>
              <w:widowControl w:val="0"/>
              <w:kinsoku/>
              <w:wordWrap/>
              <w:overflowPunct w:val="0"/>
              <w:topLinePunct w:val="0"/>
              <w:autoSpaceDE/>
              <w:autoSpaceDN/>
              <w:bidi w:val="0"/>
              <w:adjustRightInd w:val="0"/>
              <w:snapToGrid w:val="0"/>
              <w:spacing w:line="440" w:lineRule="exact"/>
              <w:jc w:val="center"/>
              <w:textAlignment w:val="baseline"/>
              <w:rPr>
                <w:rFonts w:hint="default" w:ascii="Times New Roman" w:hAnsi="Times New Roman" w:eastAsia="黑体" w:cs="Times New Roman"/>
                <w:color w:val="auto"/>
                <w:kern w:val="2"/>
                <w:sz w:val="28"/>
                <w:szCs w:val="28"/>
                <w:highlight w:val="none"/>
                <w:u w:val="none"/>
                <w:lang w:val="en-US" w:eastAsia="zh-CN" w:bidi="ar-SA"/>
              </w:rPr>
            </w:pPr>
            <w:r>
              <w:rPr>
                <w:rFonts w:hint="default" w:ascii="Times New Roman" w:hAnsi="Times New Roman" w:eastAsia="黑体" w:cs="Times New Roman"/>
                <w:color w:val="auto"/>
                <w:kern w:val="2"/>
                <w:sz w:val="28"/>
                <w:szCs w:val="28"/>
                <w:highlight w:val="none"/>
                <w:u w:val="none"/>
                <w:lang w:val="en-US" w:eastAsia="zh-CN" w:bidi="ar-SA"/>
              </w:rPr>
              <w:t>专栏</w:t>
            </w:r>
            <w:r>
              <w:rPr>
                <w:rFonts w:hint="eastAsia" w:ascii="Times New Roman" w:hAnsi="Times New Roman" w:eastAsia="黑体" w:cs="Times New Roman"/>
                <w:color w:val="auto"/>
                <w:kern w:val="2"/>
                <w:sz w:val="28"/>
                <w:szCs w:val="28"/>
                <w:highlight w:val="none"/>
                <w:u w:val="none"/>
                <w:lang w:val="en-US" w:eastAsia="zh-CN" w:bidi="ar-SA"/>
              </w:rPr>
              <w:t>5</w:t>
            </w:r>
            <w:r>
              <w:rPr>
                <w:rFonts w:hint="default" w:ascii="Times New Roman" w:hAnsi="Times New Roman" w:eastAsia="黑体" w:cs="Times New Roman"/>
                <w:color w:val="auto"/>
                <w:kern w:val="2"/>
                <w:sz w:val="28"/>
                <w:szCs w:val="28"/>
                <w:highlight w:val="none"/>
                <w:u w:val="none"/>
                <w:lang w:val="en-US" w:eastAsia="zh-CN" w:bidi="ar-SA"/>
              </w:rPr>
              <w:t>：实施社保提质行动</w:t>
            </w:r>
          </w:p>
        </w:tc>
      </w:tr>
      <w:tr w14:paraId="706D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6" w:hRule="atLeast"/>
          <w:jc w:val="center"/>
        </w:trPr>
        <w:tc>
          <w:tcPr>
            <w:tcW w:w="8504" w:type="dxa"/>
            <w:noWrap w:val="0"/>
            <w:vAlign w:val="top"/>
          </w:tcPr>
          <w:p w14:paraId="38526D33">
            <w:pPr>
              <w:pStyle w:val="25"/>
              <w:keepNext w:val="0"/>
              <w:keepLines w:val="0"/>
              <w:pageBreakBefore w:val="0"/>
              <w:widowControl w:val="0"/>
              <w:tabs>
                <w:tab w:val="clear" w:pos="4153"/>
                <w:tab w:val="clear" w:pos="8306"/>
              </w:tabs>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完善多支柱养老保险体系项目。落实养老保险全国统筹，推进失业保险、工伤保险全国统筹，扩大城乡居民养老保险集体补助试点范围。落实支持单位建立企业年金政策，扩大企业年金覆盖面，引导更多群众参加个人养老金。</w:t>
            </w:r>
          </w:p>
          <w:p w14:paraId="5143789E">
            <w:pPr>
              <w:pStyle w:val="25"/>
              <w:keepNext w:val="0"/>
              <w:keepLines w:val="0"/>
              <w:pageBreakBefore w:val="0"/>
              <w:widowControl w:val="0"/>
              <w:tabs>
                <w:tab w:val="clear" w:pos="4153"/>
                <w:tab w:val="clear" w:pos="8306"/>
              </w:tabs>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实施高质量参保扩面项目。聚焦灵活就业人员、农民工等重点群体，持续开展精准扩面专项行动，扩大失业、工伤保险覆盖范围。有序扩大职业伤害保障制度实施范围，推动外卖骑手、网约车司机等平台企业新业态从业群体“应保尽保”。</w:t>
            </w:r>
          </w:p>
          <w:p w14:paraId="01837DFD">
            <w:pPr>
              <w:pStyle w:val="25"/>
              <w:keepNext w:val="0"/>
              <w:keepLines w:val="0"/>
              <w:pageBreakBefore w:val="0"/>
              <w:widowControl w:val="0"/>
              <w:tabs>
                <w:tab w:val="clear" w:pos="4153"/>
                <w:tab w:val="clear" w:pos="8306"/>
              </w:tabs>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探索实施补充工伤保险项目。在基本工伤保险制度基础上，探索建立“政府引导、用人单位自愿参保、商业保险公司承保”机制，实行市级统收统支、县（市、区）一体推进，减轻用工单位经济负担，提高职工工伤待遇。</w:t>
            </w:r>
          </w:p>
          <w:p w14:paraId="529EC66F">
            <w:pPr>
              <w:pStyle w:val="25"/>
              <w:keepNext w:val="0"/>
              <w:keepLines w:val="0"/>
              <w:pageBreakBefore w:val="0"/>
              <w:widowControl w:val="0"/>
              <w:tabs>
                <w:tab w:val="clear" w:pos="4153"/>
                <w:tab w:val="clear" w:pos="8306"/>
              </w:tabs>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4.工伤预防、康复提升项目。加强工伤事故和职业病数据统计分析，实施工伤预防能力提升培训工程，推动工伤预防从“伤后保障”向“提前预防”转变。建立健全工伤康复早期介入、“先康复后鉴定”机制，支持鄂东工伤康复中心等示范平台发展，加强工伤康复协议机构监管。</w:t>
            </w:r>
          </w:p>
          <w:p w14:paraId="20CA1F7B">
            <w:pPr>
              <w:pStyle w:val="25"/>
              <w:keepNext w:val="0"/>
              <w:keepLines w:val="0"/>
              <w:pageBreakBefore w:val="0"/>
              <w:widowControl w:val="0"/>
              <w:tabs>
                <w:tab w:val="clear" w:pos="4153"/>
                <w:tab w:val="clear" w:pos="8306"/>
              </w:tabs>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5.“智慧社保”项目。建设社保数字驾驶舱，拓展大数据、人工智能在社保领域创新应用，推进AI社保规划师、RPA机器人、社保风险防控数据模型、失业金批量申请预警等项目建设，争创全国社保智能经办示范联系城市。</w:t>
            </w:r>
          </w:p>
          <w:p w14:paraId="6D57FF1E">
            <w:pPr>
              <w:pStyle w:val="25"/>
              <w:keepNext w:val="0"/>
              <w:keepLines w:val="0"/>
              <w:pageBreakBefore w:val="0"/>
              <w:widowControl w:val="0"/>
              <w:tabs>
                <w:tab w:val="clear" w:pos="4153"/>
                <w:tab w:val="clear" w:pos="8306"/>
              </w:tabs>
              <w:kinsoku/>
              <w:wordWrap/>
              <w:overflowPunct w:val="0"/>
              <w:topLinePunct w:val="0"/>
              <w:autoSpaceDE/>
              <w:autoSpaceDN/>
              <w:bidi w:val="0"/>
              <w:adjustRightInd w:val="0"/>
              <w:snapToGrid w:val="0"/>
              <w:spacing w:line="420" w:lineRule="exact"/>
              <w:ind w:firstLine="480" w:firstLineChars="200"/>
              <w:jc w:val="both"/>
              <w:textAlignment w:val="baseline"/>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kern w:val="2"/>
                <w:sz w:val="24"/>
                <w:szCs w:val="24"/>
                <w:highlight w:val="none"/>
                <w:u w:val="none"/>
                <w:lang w:val="en-US" w:eastAsia="zh-CN" w:bidi="ar-SA"/>
              </w:rPr>
              <w:t>6.构建全生命周期“社保适老化”服务模式。坚持传统服务与智能服务相结合，推动服务场景、方式、流程向“适老化”升级，创新“社保+小区物业”“社保+社区”“社保+养老院”等融合服务新场景，推广“无感化”与主动响应服务，拓展“预服务”范围。</w:t>
            </w:r>
          </w:p>
        </w:tc>
      </w:tr>
    </w:tbl>
    <w:p w14:paraId="61B73508">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left="0" w:leftChars="0" w:firstLine="640" w:firstLineChars="200"/>
        <w:jc w:val="both"/>
        <w:textAlignment w:val="baseline"/>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四</w:t>
      </w:r>
      <w:r>
        <w:rPr>
          <w:rFonts w:hint="default" w:ascii="Times New Roman" w:hAnsi="Times New Roman" w:eastAsia="楷体_GB2312" w:cs="Times New Roman"/>
          <w:b w:val="0"/>
          <w:bCs w:val="0"/>
          <w:color w:val="auto"/>
          <w:sz w:val="32"/>
          <w:szCs w:val="32"/>
          <w:highlight w:val="none"/>
          <w:u w:val="none"/>
          <w:lang w:eastAsia="zh-CN"/>
        </w:rPr>
        <w:t>）实施人才引育服务提升</w:t>
      </w:r>
      <w:r>
        <w:rPr>
          <w:rFonts w:hint="default" w:ascii="Times New Roman" w:hAnsi="Times New Roman" w:eastAsia="楷体_GB2312" w:cs="Times New Roman"/>
          <w:b w:val="0"/>
          <w:bCs w:val="0"/>
          <w:color w:val="auto"/>
          <w:sz w:val="32"/>
          <w:szCs w:val="32"/>
          <w:highlight w:val="none"/>
          <w:u w:val="none"/>
          <w:lang w:val="en-US" w:eastAsia="zh-CN"/>
        </w:rPr>
        <w:t>行动</w:t>
      </w:r>
    </w:p>
    <w:p w14:paraId="365C4426">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left="0" w:leftChars="0" w:firstLine="643" w:firstLineChars="200"/>
        <w:jc w:val="both"/>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一是</w:t>
      </w:r>
      <w:r>
        <w:rPr>
          <w:rFonts w:hint="default" w:ascii="Times New Roman" w:hAnsi="Times New Roman" w:eastAsia="仿宋_GB2312" w:cs="Times New Roman"/>
          <w:b/>
          <w:bCs/>
          <w:color w:val="auto"/>
          <w:sz w:val="32"/>
          <w:szCs w:val="32"/>
          <w:highlight w:val="none"/>
          <w:u w:val="none"/>
          <w:lang w:eastAsia="zh-CN"/>
        </w:rPr>
        <w:t>壮大产业技术工人队伍。</w:t>
      </w:r>
      <w:r>
        <w:rPr>
          <w:rFonts w:hint="default" w:ascii="Times New Roman" w:hAnsi="Times New Roman" w:eastAsia="仿宋_GB2312" w:cs="Times New Roman"/>
          <w:b w:val="0"/>
          <w:bCs w:val="0"/>
          <w:color w:val="auto"/>
          <w:sz w:val="32"/>
          <w:szCs w:val="32"/>
          <w:highlight w:val="none"/>
          <w:u w:val="none"/>
          <w:lang w:val="en-US" w:eastAsia="zh-CN"/>
        </w:rPr>
        <w:t>加快建设市、县（区）两级“1+N”公共实训基地，推动重点产业链职业技能培训中心建设。健全终身职业技能培训制度，实施新时代工匠体系建设行动。围绕光电子信息、高端装备、生命健康等重点产业链，开展“岗位需求+技能培训+技能评价+就业服务”项目化培训，动态优化技工院校专业设置，支持高校试点“微专业”“微课堂”。推动校企共建产业学院、实习实训基地，推行“学历证书+职业技能等级证书”制度，通过订单班、现代学徒制深化产教融合。全面推行“新八级工”职业技能等级制度，设立技能岗位津贴，完善“普工—技工—高技能领军人才”职业发展通道。开展特级技师、首席技师评聘，组建技能等级评价联盟，探索“联考联评”“一试双证”等评价模式。</w:t>
      </w:r>
    </w:p>
    <w:tbl>
      <w:tblPr>
        <w:tblStyle w:val="14"/>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14:paraId="3A0E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540" w:type="dxa"/>
            <w:shd w:val="clear" w:color="auto" w:fill="D7D7D7" w:themeFill="background1" w:themeFillShade="D8"/>
            <w:noWrap w:val="0"/>
            <w:vAlign w:val="center"/>
          </w:tcPr>
          <w:p w14:paraId="2C60978B">
            <w:pPr>
              <w:pStyle w:val="8"/>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40" w:lineRule="exact"/>
              <w:ind w:left="0" w:leftChars="0" w:right="0" w:rightChars="0" w:firstLine="0" w:firstLineChars="0"/>
              <w:jc w:val="center"/>
              <w:textAlignment w:val="baseline"/>
              <w:rPr>
                <w:rFonts w:hint="default" w:ascii="Times New Roman" w:hAnsi="Times New Roman" w:eastAsia="黑体" w:cs="Times New Roman"/>
                <w:color w:val="auto"/>
                <w:sz w:val="28"/>
                <w:szCs w:val="28"/>
                <w:highlight w:val="none"/>
                <w:u w:val="none"/>
                <w:lang w:val="en-US" w:eastAsia="zh-CN"/>
              </w:rPr>
            </w:pPr>
            <w:r>
              <w:rPr>
                <w:rFonts w:hint="default" w:ascii="Times New Roman" w:hAnsi="Times New Roman" w:eastAsia="黑体" w:cs="Times New Roman"/>
                <w:color w:val="auto"/>
                <w:sz w:val="28"/>
                <w:szCs w:val="28"/>
                <w:highlight w:val="none"/>
                <w:u w:val="none"/>
                <w:lang w:val="en-US" w:eastAsia="zh-CN"/>
              </w:rPr>
              <w:t>专栏</w:t>
            </w:r>
            <w:r>
              <w:rPr>
                <w:rFonts w:hint="eastAsia" w:ascii="Times New Roman" w:hAnsi="Times New Roman" w:eastAsia="黑体" w:cs="Times New Roman"/>
                <w:color w:val="auto"/>
                <w:sz w:val="28"/>
                <w:szCs w:val="28"/>
                <w:highlight w:val="none"/>
                <w:u w:val="none"/>
                <w:lang w:val="en-US" w:eastAsia="zh-CN"/>
              </w:rPr>
              <w:t>6</w:t>
            </w:r>
            <w:r>
              <w:rPr>
                <w:rFonts w:hint="default" w:ascii="Times New Roman" w:hAnsi="Times New Roman" w:eastAsia="黑体" w:cs="Times New Roman"/>
                <w:color w:val="auto"/>
                <w:sz w:val="28"/>
                <w:szCs w:val="28"/>
                <w:highlight w:val="none"/>
                <w:u w:val="none"/>
                <w:lang w:val="en-US" w:eastAsia="zh-CN"/>
              </w:rPr>
              <w:t>：工匠培育工程</w:t>
            </w:r>
          </w:p>
        </w:tc>
      </w:tr>
      <w:tr w14:paraId="1C33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rPr>
        <w:tc>
          <w:tcPr>
            <w:tcW w:w="8540" w:type="dxa"/>
            <w:noWrap w:val="0"/>
            <w:vAlign w:val="top"/>
          </w:tcPr>
          <w:p w14:paraId="0A45AC7A">
            <w:pPr>
              <w:pStyle w:val="8"/>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实施“技能照亮前程”培训行动。在先进制造业、数字经济、低空经济、交通运输、农业农村、生活服务、养老护理等领域，分行业开展“四位一体”项目化培训，优先支持重点产业链工种培训。“十五五”期间开展各类补贴性职业培训15万人次。</w:t>
            </w:r>
          </w:p>
          <w:p w14:paraId="5BC0F739">
            <w:pPr>
              <w:pStyle w:val="8"/>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公共培训平台基础能力提升项目。加快建设市、县（区）两级“1+N”公共实训基地，建立覆盖全市的立体化、多元化培训平台。“十五五”期末新增国家级高技能人才培训基地1-2个、国家级技能大师工作室1-2个，省级高技能人才培训基地1个以上、省级技能大师工作室2个以上。</w:t>
            </w:r>
          </w:p>
          <w:p w14:paraId="30C83677">
            <w:pPr>
              <w:pStyle w:val="8"/>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textAlignment w:val="baseline"/>
              <w:rPr>
                <w:rFonts w:hint="default" w:ascii="Times New Roman" w:hAnsi="Times New Roman" w:cs="Times New Roman"/>
                <w:color w:val="auto"/>
                <w:highlight w:val="none"/>
                <w:u w:val="none"/>
                <w:lang w:val="en-US" w:eastAsia="zh-CN"/>
              </w:rPr>
            </w:pPr>
            <w:r>
              <w:rPr>
                <w:rFonts w:hint="default" w:ascii="Times New Roman" w:hAnsi="Times New Roman" w:eastAsia="仿宋_GB2312" w:cs="Times New Roman"/>
                <w:color w:val="auto"/>
                <w:kern w:val="2"/>
                <w:sz w:val="24"/>
                <w:szCs w:val="24"/>
                <w:highlight w:val="none"/>
                <w:u w:val="none"/>
                <w:lang w:val="en-US" w:eastAsia="zh-CN" w:bidi="ar-SA"/>
              </w:rPr>
              <w:t>3.推动实行“新八级工”职业技能等级制度。支持企业备案职业技能等级认定机构，优先开展高级工以上技能评价，重点培养高级工、技师、高级技师，优先在规上企业开展“特级技师”“首席技师”评聘。“十五五”期末技能人才总量达36万，高技能人才占比达35%以上。</w:t>
            </w:r>
          </w:p>
        </w:tc>
      </w:tr>
    </w:tbl>
    <w:p w14:paraId="4B395ED3">
      <w:pPr>
        <w:keepNext w:val="0"/>
        <w:keepLines w:val="0"/>
        <w:pageBreakBefore w:val="0"/>
        <w:widowControl w:val="0"/>
        <w:kinsoku/>
        <w:wordWrap/>
        <w:overflowPunct w:val="0"/>
        <w:topLinePunct w:val="0"/>
        <w:autoSpaceDE/>
        <w:autoSpaceDN/>
        <w:bidi w:val="0"/>
        <w:adjustRightInd w:val="0"/>
        <w:snapToGrid w:val="0"/>
        <w:spacing w:line="578" w:lineRule="exact"/>
        <w:ind w:left="0" w:leftChars="0" w:firstLine="643" w:firstLineChars="200"/>
        <w:textAlignment w:val="baseline"/>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b/>
          <w:bCs/>
          <w:color w:val="auto"/>
          <w:sz w:val="32"/>
          <w:szCs w:val="32"/>
          <w:highlight w:val="none"/>
          <w:u w:val="none"/>
          <w:lang w:val="en-US" w:eastAsia="zh-CN"/>
        </w:rPr>
        <w:t>二是</w:t>
      </w:r>
      <w:r>
        <w:rPr>
          <w:rFonts w:hint="default" w:ascii="Times New Roman" w:hAnsi="Times New Roman" w:eastAsia="仿宋_GB2312" w:cs="Times New Roman"/>
          <w:b/>
          <w:bCs/>
          <w:color w:val="auto"/>
          <w:sz w:val="32"/>
          <w:szCs w:val="32"/>
          <w:highlight w:val="none"/>
          <w:u w:val="none"/>
          <w:lang w:eastAsia="zh-CN"/>
        </w:rPr>
        <w:t>加快培育高质量专技人才。</w:t>
      </w:r>
      <w:r>
        <w:rPr>
          <w:rFonts w:hint="default" w:ascii="Times New Roman" w:hAnsi="Times New Roman" w:eastAsia="仿宋_GB2312" w:cs="Times New Roman"/>
          <w:color w:val="auto"/>
          <w:sz w:val="32"/>
          <w:szCs w:val="32"/>
          <w:highlight w:val="none"/>
          <w:u w:val="none"/>
          <w:lang w:eastAsia="zh-CN"/>
        </w:rPr>
        <w:t>聚焦专业技术人才队伍建设，深化职称评审改革，推动科技领军企业、高新技术企业、专精特新企业推行“举荐制”评审，建立以创新能力、成果质量、实际贡献为核心的评价体系，打破学历、资历限制。加强专家人才培养，持续开展黄石市有突出贡献专家选拔工作。实施博士后人才培养倍增计划，出台支持新时代博士后政策举措，力争博士后科研平台达25家以上（新增国家级3-5家），引育博士后50名以上，深入推进博士后揭榜领题、创新创业大赛。</w:t>
      </w:r>
    </w:p>
    <w:p w14:paraId="7006F606">
      <w:pPr>
        <w:keepNext w:val="0"/>
        <w:keepLines w:val="0"/>
        <w:pageBreakBefore w:val="0"/>
        <w:widowControl w:val="0"/>
        <w:kinsoku/>
        <w:wordWrap/>
        <w:overflowPunct w:val="0"/>
        <w:topLinePunct w:val="0"/>
        <w:autoSpaceDE/>
        <w:autoSpaceDN/>
        <w:bidi w:val="0"/>
        <w:adjustRightInd w:val="0"/>
        <w:snapToGrid w:val="0"/>
        <w:spacing w:line="578" w:lineRule="exact"/>
        <w:ind w:left="0" w:leftChars="0" w:firstLine="643" w:firstLineChars="200"/>
        <w:textAlignment w:val="baseline"/>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三是</w:t>
      </w:r>
      <w:r>
        <w:rPr>
          <w:rFonts w:hint="default" w:ascii="Times New Roman" w:hAnsi="Times New Roman" w:eastAsia="仿宋_GB2312" w:cs="Times New Roman"/>
          <w:b/>
          <w:bCs/>
          <w:color w:val="auto"/>
          <w:sz w:val="32"/>
          <w:szCs w:val="32"/>
          <w:highlight w:val="none"/>
          <w:u w:val="none"/>
          <w:lang w:eastAsia="zh-CN"/>
        </w:rPr>
        <w:t>优化人才发展生态与服务环境。</w:t>
      </w:r>
      <w:r>
        <w:rPr>
          <w:rFonts w:hint="default" w:ascii="Times New Roman" w:hAnsi="Times New Roman" w:eastAsia="仿宋_GB2312" w:cs="Times New Roman"/>
          <w:color w:val="auto"/>
          <w:sz w:val="32"/>
          <w:szCs w:val="32"/>
          <w:highlight w:val="none"/>
          <w:u w:val="none"/>
          <w:lang w:val="en-US" w:eastAsia="zh-CN"/>
        </w:rPr>
        <w:t>定期发布《黄石市技能人才需求目录》《黄石市紧缺人才需求目录》，建立人才供需精准对接机制。升级“东楚优才卡”服务功能，打造“一站式”人才服务平台。建强“青年驿站”，打造“创在1907”新青年社区。构建辐射东楚的“1+2+N”人才服务矩阵，年均举办人才沙龙、项目路演等专题活动100次以上，服务人才超5000人次。围绕光电子信息、高端装备、铜精深加工等特色产业链，组织开展专家成果对接活动，促进人才链与产业链深度融合。</w:t>
      </w:r>
    </w:p>
    <w:tbl>
      <w:tblPr>
        <w:tblStyle w:val="1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2BE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22" w:type="dxa"/>
            <w:shd w:val="clear" w:color="auto" w:fill="D7D7D7" w:themeFill="background1" w:themeFillShade="D8"/>
            <w:noWrap w:val="0"/>
            <w:vAlign w:val="center"/>
          </w:tcPr>
          <w:p w14:paraId="559FB31E">
            <w:pPr>
              <w:keepNext w:val="0"/>
              <w:keepLines w:val="0"/>
              <w:pageBreakBefore w:val="0"/>
              <w:widowControl w:val="0"/>
              <w:suppressLineNumbers w:val="0"/>
              <w:shd w:val="clear" w:color="auto" w:fill="auto"/>
              <w:tabs>
                <w:tab w:val="center" w:pos="4213"/>
                <w:tab w:val="left" w:pos="7017"/>
              </w:tabs>
              <w:kinsoku/>
              <w:wordWrap/>
              <w:overflowPunct w:val="0"/>
              <w:topLinePunct w:val="0"/>
              <w:autoSpaceDE/>
              <w:autoSpaceDN/>
              <w:bidi w:val="0"/>
              <w:adjustRightInd w:val="0"/>
              <w:snapToGrid w:val="0"/>
              <w:spacing w:before="0" w:beforeAutospacing="0" w:after="0" w:afterAutospacing="0" w:line="440" w:lineRule="exact"/>
              <w:ind w:left="0" w:leftChars="0" w:right="0" w:rightChars="0" w:firstLine="0" w:firstLineChars="0"/>
              <w:jc w:val="left"/>
              <w:textAlignment w:val="baseline"/>
              <w:rPr>
                <w:rFonts w:hint="default" w:ascii="Times New Roman" w:hAnsi="Times New Roman" w:eastAsia="黑体" w:cs="Times New Roman"/>
                <w:color w:val="auto"/>
                <w:sz w:val="28"/>
                <w:szCs w:val="28"/>
                <w:highlight w:val="none"/>
                <w:u w:val="none"/>
                <w:vertAlign w:val="baseline"/>
                <w:lang w:val="en-US" w:eastAsia="zh-CN"/>
              </w:rPr>
            </w:pPr>
            <w:r>
              <w:rPr>
                <w:rFonts w:hint="default" w:ascii="Times New Roman" w:hAnsi="Times New Roman" w:eastAsia="黑体" w:cs="Times New Roman"/>
                <w:color w:val="auto"/>
                <w:sz w:val="28"/>
                <w:szCs w:val="28"/>
                <w:highlight w:val="none"/>
                <w:u w:val="none"/>
                <w:vertAlign w:val="baseline"/>
                <w:lang w:eastAsia="zh-CN"/>
              </w:rPr>
              <w:tab/>
            </w:r>
            <w:r>
              <w:rPr>
                <w:rFonts w:hint="default" w:ascii="Times New Roman" w:hAnsi="Times New Roman" w:eastAsia="黑体" w:cs="Times New Roman"/>
                <w:color w:val="auto"/>
                <w:sz w:val="28"/>
                <w:szCs w:val="28"/>
                <w:highlight w:val="none"/>
                <w:u w:val="none"/>
                <w:vertAlign w:val="baseline"/>
                <w:lang w:eastAsia="zh-CN"/>
              </w:rPr>
              <w:t>专栏</w:t>
            </w:r>
            <w:r>
              <w:rPr>
                <w:rFonts w:hint="eastAsia" w:ascii="Times New Roman" w:hAnsi="Times New Roman" w:eastAsia="黑体" w:cs="Times New Roman"/>
                <w:color w:val="auto"/>
                <w:sz w:val="28"/>
                <w:szCs w:val="28"/>
                <w:highlight w:val="none"/>
                <w:u w:val="none"/>
                <w:vertAlign w:val="baseline"/>
                <w:lang w:val="en-US" w:eastAsia="zh-CN"/>
              </w:rPr>
              <w:t>7</w:t>
            </w:r>
            <w:r>
              <w:rPr>
                <w:rFonts w:hint="default" w:ascii="Times New Roman" w:hAnsi="Times New Roman" w:eastAsia="黑体" w:cs="Times New Roman"/>
                <w:color w:val="auto"/>
                <w:sz w:val="28"/>
                <w:szCs w:val="28"/>
                <w:highlight w:val="none"/>
                <w:u w:val="none"/>
                <w:vertAlign w:val="baseline"/>
                <w:lang w:eastAsia="zh-CN"/>
              </w:rPr>
              <w:t>：人才引育服务提升</w:t>
            </w:r>
            <w:r>
              <w:rPr>
                <w:rFonts w:hint="default" w:ascii="Times New Roman" w:hAnsi="Times New Roman" w:eastAsia="黑体" w:cs="Times New Roman"/>
                <w:color w:val="auto"/>
                <w:sz w:val="28"/>
                <w:szCs w:val="28"/>
                <w:highlight w:val="none"/>
                <w:u w:val="none"/>
                <w:vertAlign w:val="baseline"/>
                <w:lang w:val="en-US" w:eastAsia="zh-CN"/>
              </w:rPr>
              <w:t>行动</w:t>
            </w:r>
            <w:r>
              <w:rPr>
                <w:rFonts w:hint="default" w:ascii="Times New Roman" w:hAnsi="Times New Roman" w:eastAsia="黑体" w:cs="Times New Roman"/>
                <w:color w:val="auto"/>
                <w:sz w:val="28"/>
                <w:szCs w:val="28"/>
                <w:highlight w:val="none"/>
                <w:u w:val="none"/>
                <w:vertAlign w:val="baseline"/>
                <w:lang w:val="en-US" w:eastAsia="zh-CN"/>
              </w:rPr>
              <w:tab/>
            </w:r>
          </w:p>
        </w:tc>
      </w:tr>
      <w:tr w14:paraId="1014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0" w:hRule="atLeast"/>
          <w:jc w:val="center"/>
        </w:trPr>
        <w:tc>
          <w:tcPr>
            <w:tcW w:w="8522" w:type="dxa"/>
            <w:noWrap w:val="0"/>
            <w:vAlign w:val="center"/>
          </w:tcPr>
          <w:p w14:paraId="462A6E83">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eastAsia="仿宋_GB2312" w:cs="Times New Roman"/>
                <w:color w:val="auto"/>
                <w:sz w:val="24"/>
                <w:szCs w:val="28"/>
                <w:highlight w:val="none"/>
                <w:u w:val="none"/>
                <w:vertAlign w:val="baseline"/>
                <w:lang w:val="en-US" w:eastAsia="zh-CN"/>
              </w:rPr>
            </w:pPr>
            <w:r>
              <w:rPr>
                <w:rFonts w:hint="default" w:ascii="Times New Roman" w:hAnsi="Times New Roman" w:eastAsia="仿宋_GB2312" w:cs="Times New Roman"/>
                <w:color w:val="auto"/>
                <w:sz w:val="24"/>
                <w:szCs w:val="28"/>
                <w:highlight w:val="none"/>
                <w:u w:val="none"/>
                <w:vertAlign w:val="baseline"/>
                <w:lang w:val="en-US" w:eastAsia="zh-CN"/>
              </w:rPr>
              <w:t>1.人才需求精准对接行动。对接全市重点产业链企业及事业单位，每年编制发布《黄石市紧缺人才需求目录》，助力精准引才。</w:t>
            </w:r>
          </w:p>
          <w:p w14:paraId="4B304C6F">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eastAsia="仿宋_GB2312" w:cs="Times New Roman"/>
                <w:color w:val="auto"/>
                <w:sz w:val="24"/>
                <w:szCs w:val="28"/>
                <w:highlight w:val="none"/>
                <w:u w:val="none"/>
                <w:vertAlign w:val="baseline"/>
                <w:lang w:val="en-US" w:eastAsia="zh-CN"/>
              </w:rPr>
            </w:pPr>
            <w:r>
              <w:rPr>
                <w:rFonts w:hint="default" w:ascii="Times New Roman" w:hAnsi="Times New Roman" w:eastAsia="仿宋_GB2312" w:cs="Times New Roman"/>
                <w:color w:val="auto"/>
                <w:sz w:val="24"/>
                <w:szCs w:val="28"/>
                <w:highlight w:val="none"/>
                <w:u w:val="none"/>
                <w:vertAlign w:val="baseline"/>
                <w:lang w:val="en-US" w:eastAsia="zh-CN"/>
              </w:rPr>
              <w:t>2.人才计划优化升级行动。优化“东楚优才卡”线上服务平台功能，加强信息化建设，推动人才服务“一网通办”。</w:t>
            </w:r>
          </w:p>
          <w:p w14:paraId="5B8EC1ED">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eastAsia="仿宋_GB2312" w:cs="Times New Roman"/>
                <w:color w:val="auto"/>
                <w:sz w:val="24"/>
                <w:szCs w:val="28"/>
                <w:highlight w:val="none"/>
                <w:u w:val="none"/>
                <w:vertAlign w:val="baseline"/>
                <w:lang w:val="en-US" w:eastAsia="zh-CN"/>
              </w:rPr>
            </w:pPr>
            <w:r>
              <w:rPr>
                <w:rFonts w:hint="default" w:ascii="Times New Roman" w:hAnsi="Times New Roman" w:eastAsia="仿宋_GB2312" w:cs="Times New Roman"/>
                <w:color w:val="auto"/>
                <w:sz w:val="24"/>
                <w:szCs w:val="28"/>
                <w:highlight w:val="none"/>
                <w:u w:val="none"/>
                <w:vertAlign w:val="baseline"/>
                <w:lang w:val="en-US" w:eastAsia="zh-CN"/>
              </w:rPr>
              <w:t>3.人才平台功能集成行动。优化“人才客厅”服务功能，对标省级平台，集成路演、社交、孵化等功能，年均举办人才沙龙、项目路演等活动5场以上。</w:t>
            </w:r>
          </w:p>
          <w:p w14:paraId="51A3001E">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eastAsia="仿宋_GB2312" w:cs="Times New Roman"/>
                <w:color w:val="auto"/>
                <w:sz w:val="24"/>
                <w:szCs w:val="28"/>
                <w:highlight w:val="none"/>
                <w:u w:val="none"/>
                <w:vertAlign w:val="baseline"/>
                <w:lang w:val="en-US" w:eastAsia="zh-CN"/>
              </w:rPr>
            </w:pPr>
            <w:r>
              <w:rPr>
                <w:rFonts w:hint="default" w:ascii="Times New Roman" w:hAnsi="Times New Roman" w:eastAsia="仿宋_GB2312" w:cs="Times New Roman"/>
                <w:color w:val="auto"/>
                <w:sz w:val="24"/>
                <w:szCs w:val="28"/>
                <w:highlight w:val="none"/>
                <w:u w:val="none"/>
                <w:vertAlign w:val="baseline"/>
                <w:lang w:val="en-US" w:eastAsia="zh-CN"/>
              </w:rPr>
              <w:t>4.高端人才柔性引进行动。深化“院士专家企业行”等活动，发挥黄石离岸科创平台引才窗口作用，柔性引进高层次专家人才，推动科技成果转化。</w:t>
            </w:r>
          </w:p>
          <w:p w14:paraId="7409E084">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eastAsia="仿宋_GB2312" w:cs="Times New Roman"/>
                <w:color w:val="auto"/>
                <w:sz w:val="24"/>
                <w:szCs w:val="28"/>
                <w:highlight w:val="none"/>
                <w:u w:val="none"/>
                <w:vertAlign w:val="baseline"/>
                <w:lang w:val="en-US" w:eastAsia="zh-CN"/>
              </w:rPr>
            </w:pPr>
            <w:r>
              <w:rPr>
                <w:rFonts w:hint="default" w:ascii="Times New Roman" w:hAnsi="Times New Roman" w:eastAsia="仿宋_GB2312" w:cs="Times New Roman"/>
                <w:color w:val="auto"/>
                <w:sz w:val="24"/>
                <w:szCs w:val="28"/>
                <w:highlight w:val="none"/>
                <w:u w:val="none"/>
                <w:vertAlign w:val="baseline"/>
                <w:lang w:val="en-US" w:eastAsia="zh-CN"/>
              </w:rPr>
              <w:t>5.技能传承师傅带徒行动。扎实开展“师傅带徒弟”活动，依托企业骨干培养青年技能人才，打造“带不走”的专家型人才队伍。</w:t>
            </w:r>
          </w:p>
          <w:p w14:paraId="303BB152">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eastAsia="仿宋_GB2312" w:cs="Times New Roman"/>
                <w:color w:val="auto"/>
                <w:sz w:val="24"/>
                <w:szCs w:val="28"/>
                <w:highlight w:val="none"/>
                <w:u w:val="none"/>
                <w:vertAlign w:val="baseline"/>
                <w:lang w:val="en-US" w:eastAsia="zh-CN"/>
              </w:rPr>
            </w:pPr>
            <w:r>
              <w:rPr>
                <w:rFonts w:hint="default" w:ascii="Times New Roman" w:hAnsi="Times New Roman" w:eastAsia="仿宋_GB2312" w:cs="Times New Roman"/>
                <w:color w:val="auto"/>
                <w:sz w:val="24"/>
                <w:szCs w:val="28"/>
                <w:highlight w:val="none"/>
                <w:u w:val="none"/>
                <w:vertAlign w:val="baseline"/>
                <w:lang w:val="en-US" w:eastAsia="zh-CN"/>
              </w:rPr>
              <w:t>6.产才融合成果转化行动。围绕光电子信息、高端装备、钢铁与铜精深加工等重点产业链，策划专家创新创业成果转化对接活动，推动人才链与产业链深度融合。</w:t>
            </w:r>
          </w:p>
          <w:p w14:paraId="46CE520C">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cs="Times New Roman"/>
              </w:rPr>
            </w:pPr>
            <w:r>
              <w:rPr>
                <w:rFonts w:hint="default" w:ascii="Times New Roman" w:hAnsi="Times New Roman" w:eastAsia="仿宋_GB2312" w:cs="Times New Roman"/>
                <w:color w:val="auto"/>
                <w:sz w:val="24"/>
                <w:szCs w:val="28"/>
                <w:highlight w:val="none"/>
                <w:u w:val="none"/>
                <w:vertAlign w:val="baseline"/>
                <w:lang w:val="en-US" w:eastAsia="zh-CN"/>
              </w:rPr>
              <w:t>7.国家级试点深化衔接行动。紧扣“揭榜领题”试点任务，推进“分类分级求职实训”与“青年职业体验”成果转化。构建“五业贯通”课程框架，编制标准化教学资源，面向省内外高校常态化组织沉浸式职业体验，形成可复制推广的精准就业服务标准。</w:t>
            </w:r>
          </w:p>
        </w:tc>
      </w:tr>
    </w:tbl>
    <w:p w14:paraId="0C7C1F6A">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textAlignment w:val="baseline"/>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五</w:t>
      </w:r>
      <w:r>
        <w:rPr>
          <w:rFonts w:hint="default" w:ascii="Times New Roman" w:hAnsi="Times New Roman" w:eastAsia="楷体_GB2312" w:cs="Times New Roman"/>
          <w:b w:val="0"/>
          <w:bCs w:val="0"/>
          <w:color w:val="auto"/>
          <w:sz w:val="32"/>
          <w:szCs w:val="32"/>
          <w:highlight w:val="none"/>
          <w:u w:val="none"/>
          <w:lang w:eastAsia="zh-CN"/>
        </w:rPr>
        <w:t>）实施和谐劳动关系创建</w:t>
      </w:r>
      <w:r>
        <w:rPr>
          <w:rFonts w:hint="default" w:ascii="Times New Roman" w:hAnsi="Times New Roman" w:eastAsia="楷体_GB2312" w:cs="Times New Roman"/>
          <w:b w:val="0"/>
          <w:bCs w:val="0"/>
          <w:color w:val="auto"/>
          <w:sz w:val="32"/>
          <w:szCs w:val="32"/>
          <w:highlight w:val="none"/>
          <w:u w:val="none"/>
          <w:lang w:val="en-US" w:eastAsia="zh-CN"/>
        </w:rPr>
        <w:t>行动</w:t>
      </w:r>
    </w:p>
    <w:p w14:paraId="716B7B11">
      <w:pPr>
        <w:keepNext w:val="0"/>
        <w:keepLines w:val="0"/>
        <w:pageBreakBefore w:val="0"/>
        <w:widowControl w:val="0"/>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color w:val="auto"/>
          <w:kern w:val="2"/>
          <w:sz w:val="32"/>
          <w:szCs w:val="32"/>
          <w:highlight w:val="none"/>
          <w:u w:val="none"/>
          <w:lang w:val="en-US" w:eastAsia="zh-CN" w:bidi="ar-SA"/>
        </w:rPr>
      </w:pPr>
      <w:r>
        <w:rPr>
          <w:rFonts w:hint="default" w:ascii="Times New Roman" w:hAnsi="Times New Roman" w:eastAsia="仿宋_GB2312" w:cs="Times New Roman"/>
          <w:b/>
          <w:bCs/>
          <w:color w:val="auto"/>
          <w:kern w:val="2"/>
          <w:sz w:val="32"/>
          <w:szCs w:val="32"/>
          <w:highlight w:val="none"/>
          <w:u w:val="none"/>
          <w:lang w:val="en-US" w:eastAsia="zh-CN" w:bidi="ar-SA"/>
        </w:rPr>
        <w:t>一是完善劳动关系协同治理机制。</w:t>
      </w:r>
      <w:r>
        <w:rPr>
          <w:rFonts w:hint="default" w:ascii="Times New Roman" w:hAnsi="Times New Roman" w:eastAsia="仿宋_GB2312" w:cs="Times New Roman"/>
          <w:color w:val="auto"/>
          <w:kern w:val="2"/>
          <w:sz w:val="32"/>
          <w:szCs w:val="32"/>
          <w:highlight w:val="none"/>
          <w:u w:val="none"/>
          <w:lang w:val="en-US" w:eastAsia="zh-CN" w:bidi="ar-SA"/>
        </w:rPr>
        <w:t>健全协调劳动关系三方机制，发挥集体协商在工资增长、劳动条件改善和福利保障中的关键作用。推进基层劳动关系公共服务平台标准化建设，加强劳动关系协调员专业化培训。强化企业用工指导，加强劳动合同制度实施监管，落实带薪错峰休假制度。完善风险监测预警与应急处置机制。</w:t>
      </w:r>
    </w:p>
    <w:p w14:paraId="58B46027">
      <w:pPr>
        <w:pStyle w:val="8"/>
        <w:keepNext w:val="0"/>
        <w:keepLines w:val="0"/>
        <w:pageBreakBefore w:val="0"/>
        <w:widowControl w:val="0"/>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二是推动劳动人事争议调解仲裁创新。</w:t>
      </w:r>
      <w:r>
        <w:rPr>
          <w:rFonts w:hint="default" w:ascii="Times New Roman" w:hAnsi="Times New Roman" w:eastAsia="仿宋_GB2312" w:cs="Times New Roman"/>
          <w:b w:val="0"/>
          <w:bCs w:val="0"/>
          <w:color w:val="auto"/>
          <w:sz w:val="32"/>
          <w:szCs w:val="32"/>
          <w:highlight w:val="none"/>
          <w:u w:val="none"/>
          <w:lang w:val="en-US" w:eastAsia="zh-CN"/>
        </w:rPr>
        <w:t>整合优化全市“一站式”劳动争议维权中心功能，深化“人社+工会”“人社+法院”联动调处机制。支持行业劳动人事争议调解组织全覆盖，完善新业态、新生代调解组织建设。加快仲裁数字化转型，建设标准化数字仲裁庭和市级智慧仲裁移动服务平台，实现“仲裁申请—调解—审理”全流程掌上办理。</w:t>
      </w:r>
    </w:p>
    <w:p w14:paraId="67CC244C">
      <w:pPr>
        <w:pStyle w:val="8"/>
        <w:keepNext w:val="0"/>
        <w:keepLines w:val="0"/>
        <w:pageBreakBefore w:val="0"/>
        <w:widowControl w:val="0"/>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kern w:val="2"/>
          <w:sz w:val="32"/>
          <w:szCs w:val="32"/>
          <w:highlight w:val="none"/>
          <w:u w:val="none"/>
          <w:lang w:val="en-US" w:eastAsia="zh-CN" w:bidi="ar-SA"/>
        </w:rPr>
      </w:pPr>
      <w:r>
        <w:rPr>
          <w:rFonts w:hint="default" w:ascii="Times New Roman" w:hAnsi="Times New Roman" w:eastAsia="仿宋_GB2312" w:cs="Times New Roman"/>
          <w:b/>
          <w:bCs/>
          <w:color w:val="auto"/>
          <w:sz w:val="32"/>
          <w:szCs w:val="32"/>
          <w:highlight w:val="none"/>
          <w:u w:val="none"/>
          <w:lang w:val="en-US" w:eastAsia="zh-CN"/>
        </w:rPr>
        <w:t>三是构建劳动保障智慧治理新格局。</w:t>
      </w:r>
      <w:r>
        <w:rPr>
          <w:rFonts w:hint="default" w:ascii="Times New Roman" w:hAnsi="Times New Roman" w:eastAsia="仿宋_GB2312" w:cs="Times New Roman"/>
          <w:b w:val="0"/>
          <w:bCs w:val="0"/>
          <w:color w:val="auto"/>
          <w:sz w:val="32"/>
          <w:szCs w:val="32"/>
          <w:highlight w:val="none"/>
          <w:u w:val="none"/>
          <w:lang w:val="en-US" w:eastAsia="zh-CN"/>
        </w:rPr>
        <w:t>全面落实工资支付保障制度，推进系统治理、源头治理、依法治理、信用治理与数字治理深度融合，完善农民工工资支付“接诉—处置—反馈”高效机制。推进智慧监察系统建设，搭建跨部门数据共享和协同治理平台，构建欠薪风险感知模型，设置工资支付预警指标，推动劳动保障监管向事前预警、精准识别转变。</w:t>
      </w:r>
    </w:p>
    <w:tbl>
      <w:tblPr>
        <w:tblStyle w:val="1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789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22" w:type="dxa"/>
            <w:shd w:val="clear" w:color="auto" w:fill="D7D7D7" w:themeFill="background1" w:themeFillShade="D8"/>
            <w:noWrap w:val="0"/>
            <w:vAlign w:val="center"/>
          </w:tcPr>
          <w:p w14:paraId="1F3E3195">
            <w:pPr>
              <w:pStyle w:val="8"/>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440" w:lineRule="exact"/>
              <w:ind w:left="0" w:right="0"/>
              <w:jc w:val="center"/>
              <w:textAlignment w:val="baseline"/>
              <w:rPr>
                <w:rFonts w:hint="default" w:ascii="Times New Roman" w:hAnsi="Times New Roman" w:eastAsia="黑体" w:cs="Times New Roman"/>
                <w:color w:val="auto"/>
                <w:sz w:val="28"/>
                <w:szCs w:val="28"/>
                <w:highlight w:val="none"/>
                <w:u w:val="none"/>
                <w:lang w:val="en-US" w:eastAsia="zh-CN"/>
              </w:rPr>
            </w:pPr>
            <w:r>
              <w:rPr>
                <w:rFonts w:hint="default" w:ascii="Times New Roman" w:hAnsi="Times New Roman" w:eastAsia="黑体" w:cs="Times New Roman"/>
                <w:color w:val="auto"/>
                <w:kern w:val="2"/>
                <w:sz w:val="28"/>
                <w:szCs w:val="28"/>
                <w:highlight w:val="none"/>
                <w:u w:val="none"/>
                <w:vertAlign w:val="baseline"/>
                <w:lang w:val="en-US" w:eastAsia="zh-CN" w:bidi="ar-SA"/>
              </w:rPr>
              <w:t>专栏</w:t>
            </w:r>
            <w:r>
              <w:rPr>
                <w:rFonts w:hint="eastAsia" w:ascii="Times New Roman" w:hAnsi="Times New Roman" w:eastAsia="黑体" w:cs="Times New Roman"/>
                <w:color w:val="auto"/>
                <w:kern w:val="2"/>
                <w:sz w:val="28"/>
                <w:szCs w:val="28"/>
                <w:highlight w:val="none"/>
                <w:u w:val="none"/>
                <w:vertAlign w:val="baseline"/>
                <w:lang w:val="en-US" w:eastAsia="zh-CN" w:bidi="ar-SA"/>
              </w:rPr>
              <w:t>8</w:t>
            </w:r>
            <w:r>
              <w:rPr>
                <w:rFonts w:hint="default" w:ascii="Times New Roman" w:hAnsi="Times New Roman" w:eastAsia="黑体" w:cs="Times New Roman"/>
                <w:color w:val="auto"/>
                <w:kern w:val="2"/>
                <w:sz w:val="28"/>
                <w:szCs w:val="28"/>
                <w:highlight w:val="none"/>
                <w:u w:val="none"/>
                <w:vertAlign w:val="baseline"/>
                <w:lang w:val="en-US" w:eastAsia="zh-CN" w:bidi="ar-SA"/>
              </w:rPr>
              <w:t>：劳动保障智慧监察体系建设</w:t>
            </w:r>
          </w:p>
        </w:tc>
      </w:tr>
      <w:tr w14:paraId="64AE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8" w:hRule="atLeast"/>
          <w:jc w:val="center"/>
        </w:trPr>
        <w:tc>
          <w:tcPr>
            <w:tcW w:w="8522" w:type="dxa"/>
            <w:noWrap w:val="0"/>
            <w:vAlign w:val="center"/>
          </w:tcPr>
          <w:p w14:paraId="5F416E9B">
            <w:pPr>
              <w:pStyle w:val="8"/>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建筑项目工资支付制度运行风险预警。行业主管部门项目监管平台与根治欠薪信息化管理平台打通数据接口，归集共享项目基本情况、工程款支付担保、实名制管理、维权信息公示等数据，金融机构归集工资专户、工资保证金等数据。依托平台对6项制度运行风险实时预警，人社部门组织责任单位加强预警处置。</w:t>
            </w:r>
          </w:p>
          <w:p w14:paraId="671EF0F6">
            <w:pPr>
              <w:pStyle w:val="8"/>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420" w:lineRule="exact"/>
              <w:ind w:left="0" w:right="0" w:firstLine="480" w:firstLineChars="200"/>
              <w:jc w:val="both"/>
              <w:textAlignment w:val="baseline"/>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2.非建企业劳动用工风险数字预警。完善根治欠薪信息化管理平台用工监管模块，实现与市场监管、税务、医保、公安、检察院、法院、金融监管、水电燃气等部门数据共享与智能分析，对欠薪、违法超时加班、社保缴纳异常等风险点主动发现、智能预警。依托网格化、基层站点常态化开展用工体检，变“事后查处”为“事前防控”。</w:t>
            </w:r>
          </w:p>
        </w:tc>
      </w:tr>
    </w:tbl>
    <w:p w14:paraId="122F864E">
      <w:pPr>
        <w:pStyle w:val="7"/>
        <w:keepNext w:val="0"/>
        <w:keepLines w:val="0"/>
        <w:pageBreakBefore w:val="0"/>
        <w:widowControl w:val="0"/>
        <w:kinsoku/>
        <w:wordWrap/>
        <w:overflowPunct w:val="0"/>
        <w:topLinePunct w:val="0"/>
        <w:autoSpaceDE/>
        <w:autoSpaceDN/>
        <w:bidi w:val="0"/>
        <w:adjustRightInd w:val="0"/>
        <w:snapToGrid w:val="0"/>
        <w:spacing w:line="578" w:lineRule="exact"/>
        <w:ind w:left="0" w:leftChars="0" w:firstLine="643" w:firstLineChars="200"/>
        <w:textAlignment w:val="baseline"/>
        <w:rPr>
          <w:rFonts w:hint="default" w:ascii="Times New Roman" w:hAnsi="Times New Roman" w:eastAsia="仿宋_GB2312" w:cs="Times New Roman"/>
          <w:b w:val="0"/>
          <w:bCs w:val="0"/>
          <w:color w:val="auto"/>
          <w:kern w:val="2"/>
          <w:sz w:val="32"/>
          <w:szCs w:val="32"/>
          <w:highlight w:val="none"/>
          <w:u w:val="none"/>
          <w:lang w:val="en-US" w:eastAsia="zh-CN" w:bidi="ar-SA"/>
        </w:rPr>
      </w:pPr>
      <w:r>
        <w:rPr>
          <w:rFonts w:hint="default" w:ascii="Times New Roman" w:hAnsi="Times New Roman" w:eastAsia="仿宋_GB2312" w:cs="Times New Roman"/>
          <w:b/>
          <w:bCs/>
          <w:color w:val="auto"/>
          <w:kern w:val="2"/>
          <w:sz w:val="32"/>
          <w:szCs w:val="32"/>
          <w:highlight w:val="none"/>
          <w:u w:val="none"/>
          <w:lang w:val="en-US" w:eastAsia="zh-CN" w:bidi="ar-SA"/>
        </w:rPr>
        <w:t>四是提升涉企执法监管与服务效能。</w:t>
      </w:r>
      <w:r>
        <w:rPr>
          <w:rFonts w:hint="default" w:ascii="Times New Roman" w:hAnsi="Times New Roman" w:eastAsia="仿宋_GB2312" w:cs="Times New Roman"/>
          <w:b w:val="0"/>
          <w:bCs w:val="0"/>
          <w:color w:val="auto"/>
          <w:kern w:val="2"/>
          <w:sz w:val="32"/>
          <w:szCs w:val="32"/>
          <w:highlight w:val="none"/>
          <w:u w:val="none"/>
          <w:lang w:val="en-US" w:eastAsia="zh-CN" w:bidi="ar-SA"/>
        </w:rPr>
        <w:t>深化人社领域行政执法体制改革，强化综合执法职能。落实“综合查一次”“扫码入企”“未经公示不检查”等机制，减少对企业正常经营的干扰。拓展“五端维权”应用，聚焦欠薪治理、人力资源市场秩序整顿、职工权益保护、劳务派遣合规等重点领域，强化部门协同和行刑衔接。</w:t>
      </w:r>
    </w:p>
    <w:tbl>
      <w:tblPr>
        <w:tblStyle w:val="1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EA9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22" w:type="dxa"/>
            <w:shd w:val="clear" w:color="auto" w:fill="D7D7D7" w:themeFill="background1" w:themeFillShade="D8"/>
            <w:noWrap w:val="0"/>
            <w:vAlign w:val="center"/>
          </w:tcPr>
          <w:p w14:paraId="4B5CDE8D">
            <w:pPr>
              <w:pStyle w:val="8"/>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440" w:lineRule="exact"/>
              <w:ind w:left="0" w:leftChars="0" w:right="0" w:rightChars="0" w:firstLine="0" w:firstLineChars="0"/>
              <w:jc w:val="center"/>
              <w:textAlignment w:val="baseline"/>
              <w:rPr>
                <w:rFonts w:hint="default" w:ascii="Times New Roman" w:hAnsi="Times New Roman" w:eastAsia="黑体" w:cs="Times New Roman"/>
                <w:color w:val="auto"/>
                <w:kern w:val="2"/>
                <w:sz w:val="28"/>
                <w:szCs w:val="28"/>
                <w:highlight w:val="none"/>
                <w:u w:val="none"/>
                <w:vertAlign w:val="baseline"/>
                <w:lang w:val="en-US" w:eastAsia="zh-CN" w:bidi="ar-SA"/>
              </w:rPr>
            </w:pPr>
            <w:r>
              <w:rPr>
                <w:rFonts w:hint="default" w:ascii="Times New Roman" w:hAnsi="Times New Roman" w:eastAsia="黑体" w:cs="Times New Roman"/>
                <w:color w:val="auto"/>
                <w:kern w:val="2"/>
                <w:sz w:val="28"/>
                <w:szCs w:val="28"/>
                <w:highlight w:val="none"/>
                <w:u w:val="none"/>
                <w:vertAlign w:val="baseline"/>
                <w:lang w:val="en-US" w:eastAsia="zh-CN" w:bidi="ar-SA"/>
              </w:rPr>
              <w:t>专栏</w:t>
            </w:r>
            <w:r>
              <w:rPr>
                <w:rFonts w:hint="eastAsia" w:ascii="Times New Roman" w:hAnsi="Times New Roman" w:eastAsia="黑体" w:cs="Times New Roman"/>
                <w:color w:val="auto"/>
                <w:kern w:val="2"/>
                <w:sz w:val="28"/>
                <w:szCs w:val="28"/>
                <w:highlight w:val="none"/>
                <w:u w:val="none"/>
                <w:vertAlign w:val="baseline"/>
                <w:lang w:val="en-US" w:eastAsia="zh-CN" w:bidi="ar-SA"/>
              </w:rPr>
              <w:t>9</w:t>
            </w:r>
            <w:r>
              <w:rPr>
                <w:rFonts w:hint="default" w:ascii="Times New Roman" w:hAnsi="Times New Roman" w:eastAsia="黑体" w:cs="Times New Roman"/>
                <w:color w:val="auto"/>
                <w:kern w:val="2"/>
                <w:sz w:val="28"/>
                <w:szCs w:val="28"/>
                <w:highlight w:val="none"/>
                <w:u w:val="none"/>
                <w:vertAlign w:val="baseline"/>
                <w:lang w:val="en-US" w:eastAsia="zh-CN" w:bidi="ar-SA"/>
              </w:rPr>
              <w:t>：劳动监察执法效能提升行动</w:t>
            </w:r>
          </w:p>
        </w:tc>
      </w:tr>
      <w:tr w14:paraId="5C2B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2" w:hRule="atLeast"/>
          <w:jc w:val="center"/>
        </w:trPr>
        <w:tc>
          <w:tcPr>
            <w:tcW w:w="8522" w:type="dxa"/>
            <w:noWrap w:val="0"/>
            <w:vAlign w:val="center"/>
          </w:tcPr>
          <w:p w14:paraId="49D8B378">
            <w:pPr>
              <w:pStyle w:val="8"/>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400" w:lineRule="exact"/>
              <w:ind w:left="0" w:right="0"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1.推广“无感式”行政检查。通过书面核查、信息共享、“互联网+监管”和大数据采集分析，强化劳动用工网上监测、非现场检查，构建风险预警平台，推行全流程线上办案，实现“无感”发现线索、调查取证和处置。</w:t>
            </w:r>
          </w:p>
          <w:p w14:paraId="67CC66FA">
            <w:pPr>
              <w:pStyle w:val="8"/>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400" w:lineRule="exact"/>
              <w:ind w:left="0" w:right="0" w:firstLine="480" w:firstLineChars="200"/>
              <w:jc w:val="both"/>
              <w:textAlignment w:val="baseline"/>
              <w:rPr>
                <w:rFonts w:hint="default" w:ascii="Times New Roman" w:hAnsi="Times New Roman" w:eastAsia="仿宋_GB2312" w:cs="Times New Roman"/>
                <w:color w:val="auto"/>
                <w:kern w:val="2"/>
                <w:sz w:val="24"/>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2.探索“分级式”行政检查。建立健全以“信用+风险”为基础的分级分类劳动保障涉企精准检查，对企业精准画像、分级分类监管，合理降低高评价等次企业检查频次，深入落实“双随机、一公开”和“互联网+监管”新型监管机制。</w:t>
            </w:r>
          </w:p>
          <w:p w14:paraId="777D8289">
            <w:pPr>
              <w:pStyle w:val="8"/>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400" w:lineRule="exact"/>
              <w:ind w:left="0" w:right="0" w:firstLine="480" w:firstLineChars="200"/>
              <w:jc w:val="both"/>
              <w:textAlignment w:val="baseline"/>
              <w:rPr>
                <w:rFonts w:hint="default" w:ascii="Times New Roman" w:hAnsi="Times New Roman" w:cs="Times New Roman"/>
                <w:color w:val="auto"/>
                <w:kern w:val="2"/>
                <w:sz w:val="21"/>
                <w:szCs w:val="24"/>
                <w:highlight w:val="none"/>
                <w:u w:val="none"/>
                <w:lang w:val="en-US" w:eastAsia="zh-CN" w:bidi="ar-SA"/>
              </w:rPr>
            </w:pPr>
            <w:r>
              <w:rPr>
                <w:rFonts w:hint="default" w:ascii="Times New Roman" w:hAnsi="Times New Roman" w:eastAsia="仿宋_GB2312" w:cs="Times New Roman"/>
                <w:color w:val="auto"/>
                <w:kern w:val="2"/>
                <w:sz w:val="24"/>
                <w:szCs w:val="24"/>
                <w:highlight w:val="none"/>
                <w:u w:val="none"/>
                <w:lang w:val="en-US" w:eastAsia="zh-CN" w:bidi="ar-SA"/>
              </w:rPr>
              <w:t>3.实施“联合式”行政检查。建立联合检查工作机制，拓宽“一业一查”行业领域范围，实现一次查多项事，简单事项“一表通查”，缓解基层执法力量不足压力，减少企业负担，持续优化营商环境。</w:t>
            </w:r>
          </w:p>
        </w:tc>
      </w:tr>
    </w:tbl>
    <w:p w14:paraId="628D4C8D">
      <w:pPr>
        <w:keepNext w:val="0"/>
        <w:keepLines w:val="0"/>
        <w:pageBreakBefore w:val="0"/>
        <w:widowControl w:val="0"/>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kern w:val="2"/>
          <w:sz w:val="32"/>
          <w:szCs w:val="32"/>
          <w:highlight w:val="none"/>
          <w:u w:val="none"/>
          <w:lang w:val="en-US" w:eastAsia="zh-CN" w:bidi="ar-SA"/>
        </w:rPr>
      </w:pPr>
      <w:r>
        <w:rPr>
          <w:rFonts w:hint="default" w:ascii="Times New Roman" w:hAnsi="Times New Roman" w:eastAsia="仿宋_GB2312" w:cs="Times New Roman"/>
          <w:b/>
          <w:bCs/>
          <w:color w:val="auto"/>
          <w:kern w:val="2"/>
          <w:sz w:val="32"/>
          <w:szCs w:val="32"/>
          <w:highlight w:val="none"/>
          <w:u w:val="none"/>
          <w:lang w:val="en-US" w:eastAsia="zh-CN" w:bidi="ar-SA"/>
        </w:rPr>
        <w:t>五是保障新就业形态劳动者权益。</w:t>
      </w:r>
      <w:r>
        <w:rPr>
          <w:rFonts w:hint="default" w:ascii="Times New Roman" w:hAnsi="Times New Roman" w:eastAsia="仿宋_GB2312" w:cs="Times New Roman"/>
          <w:b w:val="0"/>
          <w:bCs w:val="0"/>
          <w:color w:val="auto"/>
          <w:kern w:val="2"/>
          <w:sz w:val="32"/>
          <w:szCs w:val="32"/>
          <w:highlight w:val="none"/>
          <w:u w:val="none"/>
          <w:lang w:val="en-US" w:eastAsia="zh-CN" w:bidi="ar-SA"/>
        </w:rPr>
        <w:t>引导督促平台企业强化雇主责任，推进新业态领域集体协商，合理确定平台企业与劳动者的权利义务，加大执法监管力度，推广新业态职业伤害保障试点，将新业态劳动者权益保障情况纳入“双随机、一公开”联合执法范围，重点治理逃避雇主责任、拖欠劳动报酬、违法超时加班等突出问题，提升新业态劳动者权益保障水平。</w:t>
      </w:r>
    </w:p>
    <w:p w14:paraId="5DC0A83A">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textAlignment w:val="baseline"/>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六</w:t>
      </w:r>
      <w:r>
        <w:rPr>
          <w:rFonts w:hint="default" w:ascii="Times New Roman" w:hAnsi="Times New Roman" w:eastAsia="楷体_GB2312" w:cs="Times New Roman"/>
          <w:b w:val="0"/>
          <w:bCs w:val="0"/>
          <w:color w:val="auto"/>
          <w:sz w:val="32"/>
          <w:szCs w:val="32"/>
          <w:highlight w:val="none"/>
          <w:u w:val="none"/>
          <w:lang w:eastAsia="zh-CN"/>
        </w:rPr>
        <w:t>）实施</w:t>
      </w:r>
      <w:r>
        <w:rPr>
          <w:rFonts w:hint="default" w:ascii="Times New Roman" w:hAnsi="Times New Roman" w:eastAsia="楷体_GB2312" w:cs="Times New Roman"/>
          <w:b w:val="0"/>
          <w:bCs w:val="0"/>
          <w:color w:val="auto"/>
          <w:sz w:val="32"/>
          <w:szCs w:val="32"/>
          <w:highlight w:val="none"/>
          <w:u w:val="none"/>
          <w:lang w:val="en-US" w:eastAsia="zh-CN"/>
        </w:rPr>
        <w:t>人事管理绩效提升行动</w:t>
      </w:r>
    </w:p>
    <w:p w14:paraId="109FCE3C">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一是完善岗位管理和人员聘用制度。</w:t>
      </w:r>
      <w:r>
        <w:rPr>
          <w:rFonts w:hint="default" w:ascii="Times New Roman" w:hAnsi="Times New Roman" w:eastAsia="仿宋_GB2312" w:cs="Times New Roman"/>
          <w:b w:val="0"/>
          <w:bCs w:val="0"/>
          <w:color w:val="auto"/>
          <w:sz w:val="32"/>
          <w:szCs w:val="32"/>
          <w:highlight w:val="none"/>
          <w:u w:val="none"/>
          <w:lang w:val="en-US" w:eastAsia="zh-CN"/>
        </w:rPr>
        <w:t>建立健全事业单位岗位管理制度和结构比例科学调整机制，实现岗位动态调整和精细化管理。积极推进实施管理岗位职员等级晋升制度，拓展职业发展空间。完善基层事业单位“定向评价、定向使用”专业技术岗位设置管理制度。优化机关事业单位工勤人员技术等级考核和岗位聘用管理。</w:t>
      </w:r>
    </w:p>
    <w:p w14:paraId="160712D4">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二是健全公开招聘和人才流动机制。</w:t>
      </w:r>
      <w:r>
        <w:rPr>
          <w:rFonts w:hint="default" w:ascii="Times New Roman" w:hAnsi="Times New Roman" w:eastAsia="仿宋_GB2312" w:cs="Times New Roman"/>
          <w:b w:val="0"/>
          <w:bCs w:val="0"/>
          <w:color w:val="auto"/>
          <w:sz w:val="32"/>
          <w:szCs w:val="32"/>
          <w:highlight w:val="none"/>
          <w:u w:val="none"/>
          <w:lang w:val="en-US" w:eastAsia="zh-CN"/>
        </w:rPr>
        <w:t>增强公开招聘科学性、针对性、时效性，畅通人才引进渠道，规范招聘条件和程序。落实艰苦边远地区基层事业单位公开招聘倾斜政策。推行重点产业急需紧缺人才“带编入企”试点。畅通事业单位工作人员交流通道，探索人员遴选和交流制度。鼓励支持事业单位科研人员兼职创新创业、离岗创业、项目合作创新。探索人才共享共用模式，支持事业单位之间开展人才联合培养、项目合作。</w:t>
      </w:r>
    </w:p>
    <w:p w14:paraId="66D6E6B0">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三是强化激励约束和风险防控机制。</w:t>
      </w:r>
      <w:r>
        <w:rPr>
          <w:rFonts w:hint="default" w:ascii="Times New Roman" w:hAnsi="Times New Roman" w:eastAsia="仿宋_GB2312" w:cs="Times New Roman"/>
          <w:b w:val="0"/>
          <w:bCs w:val="0"/>
          <w:color w:val="auto"/>
          <w:sz w:val="32"/>
          <w:szCs w:val="32"/>
          <w:highlight w:val="none"/>
          <w:u w:val="none"/>
          <w:lang w:val="en-US" w:eastAsia="zh-CN"/>
        </w:rPr>
        <w:t>指导行业主管部门建立分类考核评价体系。规范实施事业单位工作人员奖励、处分制度，严格落实回避制度。建立健全人事管理监督机制。推广事业单位人事管理信息平台应用，实行职业生涯全周期管理和智慧精准管理。</w:t>
      </w:r>
    </w:p>
    <w:p w14:paraId="0E7B383D">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四是充分发挥表彰奖励精神引领、典型示范作用。</w:t>
      </w:r>
      <w:r>
        <w:rPr>
          <w:rFonts w:hint="default" w:ascii="Times New Roman" w:hAnsi="Times New Roman" w:eastAsia="仿宋_GB2312" w:cs="Times New Roman"/>
          <w:b w:val="0"/>
          <w:bCs w:val="0"/>
          <w:color w:val="auto"/>
          <w:sz w:val="32"/>
          <w:szCs w:val="32"/>
          <w:highlight w:val="none"/>
          <w:u w:val="none"/>
          <w:lang w:val="en-US" w:eastAsia="zh-CN"/>
        </w:rPr>
        <w:t>联合有关部门组织实施表彰奖励工作，规范评选推荐流程。加强表彰奖励获得者数据库建设，做好管理服务工作，及时落实待遇，对生活困难者开展帮扶，激发干事创业热情。</w:t>
      </w:r>
    </w:p>
    <w:p w14:paraId="5A7FA051">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textAlignment w:val="baseline"/>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七</w:t>
      </w:r>
      <w:r>
        <w:rPr>
          <w:rFonts w:hint="default" w:ascii="Times New Roman" w:hAnsi="Times New Roman" w:eastAsia="楷体_GB2312" w:cs="Times New Roman"/>
          <w:b w:val="0"/>
          <w:bCs w:val="0"/>
          <w:color w:val="auto"/>
          <w:sz w:val="32"/>
          <w:szCs w:val="32"/>
          <w:highlight w:val="none"/>
          <w:u w:val="none"/>
          <w:lang w:eastAsia="zh-CN"/>
        </w:rPr>
        <w:t>）实施收入分配改革</w:t>
      </w:r>
      <w:r>
        <w:rPr>
          <w:rFonts w:hint="default" w:ascii="Times New Roman" w:hAnsi="Times New Roman" w:eastAsia="楷体_GB2312" w:cs="Times New Roman"/>
          <w:b w:val="0"/>
          <w:bCs w:val="0"/>
          <w:color w:val="auto"/>
          <w:sz w:val="32"/>
          <w:szCs w:val="32"/>
          <w:highlight w:val="none"/>
          <w:u w:val="none"/>
          <w:lang w:val="en-US" w:eastAsia="zh-CN"/>
        </w:rPr>
        <w:t>行动</w:t>
      </w:r>
    </w:p>
    <w:p w14:paraId="7EF09502">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一是加强企业工资收入分配宏观调控引导。</w:t>
      </w:r>
      <w:r>
        <w:rPr>
          <w:rFonts w:hint="default" w:ascii="Times New Roman" w:hAnsi="Times New Roman" w:eastAsia="仿宋_GB2312" w:cs="Times New Roman"/>
          <w:b w:val="0"/>
          <w:bCs w:val="0"/>
          <w:color w:val="auto"/>
          <w:sz w:val="32"/>
          <w:szCs w:val="32"/>
          <w:highlight w:val="none"/>
          <w:u w:val="none"/>
          <w:lang w:val="en-US" w:eastAsia="zh-CN"/>
        </w:rPr>
        <w:t>健全劳动者工资决定、合理增长和支付保障机制，着力提高劳动报酬在初次分配中的比重。落实最低工资标准正常调整机制，稳步提升低收入群体收入。落实企业工资指导线制度，指导企业合理确定年度工资增长水平。强化技能人才薪酬分配指引，推动技能人才最低工资区域性行业性集体协商。</w:t>
      </w:r>
    </w:p>
    <w:p w14:paraId="100CB5A6">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二是持续规范国有企业薪酬管理。</w:t>
      </w:r>
      <w:r>
        <w:rPr>
          <w:rFonts w:hint="default" w:ascii="Times New Roman" w:hAnsi="Times New Roman" w:eastAsia="仿宋_GB2312" w:cs="Times New Roman"/>
          <w:b w:val="0"/>
          <w:bCs w:val="0"/>
          <w:color w:val="auto"/>
          <w:sz w:val="32"/>
          <w:szCs w:val="32"/>
          <w:highlight w:val="none"/>
          <w:u w:val="none"/>
          <w:lang w:val="en-US" w:eastAsia="zh-CN"/>
        </w:rPr>
        <w:t>深化落实国有企业负责人薪酬制度和工资决定机制改革政策，强化薪酬与业绩紧密联动。加强津贴补贴和福利规范化管理，加强国有企业工资内外收入监督检查，推动收入分配更加规范有序、公平合理。</w:t>
      </w:r>
    </w:p>
    <w:p w14:paraId="726013BB">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三是完善事业单位工资收入分配制度。</w:t>
      </w:r>
      <w:r>
        <w:rPr>
          <w:rFonts w:hint="default" w:ascii="Times New Roman" w:hAnsi="Times New Roman" w:eastAsia="仿宋_GB2312" w:cs="Times New Roman"/>
          <w:b w:val="0"/>
          <w:bCs w:val="0"/>
          <w:color w:val="auto"/>
          <w:sz w:val="32"/>
          <w:szCs w:val="32"/>
          <w:highlight w:val="none"/>
          <w:u w:val="none"/>
          <w:lang w:val="en-US" w:eastAsia="zh-CN"/>
        </w:rPr>
        <w:t>落实事业单位工作人员基本工资正常调整机制，分类完善绩效工资水平确定和动态调整机制。稳步推进高等学校、科研院所薪酬制度改革，深化以公益性为导向的公立医院薪酬制度改革，落实义务教育教师工资待遇保障机制。加强工资政策执行监督管理，构建更加公平有序的收入分配秩序。</w:t>
      </w:r>
    </w:p>
    <w:p w14:paraId="1C76E361">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textAlignment w:val="baseline"/>
        <w:rPr>
          <w:rFonts w:hint="default" w:ascii="Times New Roman" w:hAnsi="Times New Roman" w:eastAsia="楷体_GB2312" w:cs="Times New Roman"/>
          <w:b w:val="0"/>
          <w:bCs w:val="0"/>
          <w:color w:val="auto"/>
          <w:sz w:val="32"/>
          <w:szCs w:val="32"/>
          <w:highlight w:val="none"/>
          <w:u w:val="none"/>
          <w:lang w:eastAsia="zh-CN"/>
        </w:rPr>
      </w:pPr>
      <w:r>
        <w:rPr>
          <w:rFonts w:hint="default" w:ascii="Times New Roman" w:hAnsi="Times New Roman" w:eastAsia="楷体_GB2312" w:cs="Times New Roman"/>
          <w:b w:val="0"/>
          <w:bCs w:val="0"/>
          <w:color w:val="auto"/>
          <w:sz w:val="32"/>
          <w:szCs w:val="32"/>
          <w:highlight w:val="none"/>
          <w:u w:val="none"/>
          <w:lang w:eastAsia="zh-CN"/>
        </w:rPr>
        <w:t>（</w:t>
      </w:r>
      <w:r>
        <w:rPr>
          <w:rFonts w:hint="default" w:ascii="Times New Roman" w:hAnsi="Times New Roman" w:eastAsia="楷体_GB2312" w:cs="Times New Roman"/>
          <w:b w:val="0"/>
          <w:bCs w:val="0"/>
          <w:color w:val="auto"/>
          <w:sz w:val="32"/>
          <w:szCs w:val="32"/>
          <w:highlight w:val="none"/>
          <w:u w:val="none"/>
          <w:lang w:val="en-US" w:eastAsia="zh-CN"/>
        </w:rPr>
        <w:t>八</w:t>
      </w:r>
      <w:r>
        <w:rPr>
          <w:rFonts w:hint="default" w:ascii="Times New Roman" w:hAnsi="Times New Roman" w:eastAsia="楷体_GB2312" w:cs="Times New Roman"/>
          <w:b w:val="0"/>
          <w:bCs w:val="0"/>
          <w:color w:val="auto"/>
          <w:sz w:val="32"/>
          <w:szCs w:val="32"/>
          <w:highlight w:val="none"/>
          <w:u w:val="none"/>
          <w:lang w:eastAsia="zh-CN"/>
        </w:rPr>
        <w:t>）实施公共服务</w:t>
      </w:r>
      <w:r>
        <w:rPr>
          <w:rFonts w:hint="default" w:ascii="Times New Roman" w:hAnsi="Times New Roman" w:eastAsia="楷体_GB2312" w:cs="Times New Roman"/>
          <w:b w:val="0"/>
          <w:bCs w:val="0"/>
          <w:color w:val="auto"/>
          <w:sz w:val="32"/>
          <w:szCs w:val="32"/>
          <w:highlight w:val="none"/>
          <w:u w:val="none"/>
          <w:lang w:val="en-US" w:eastAsia="zh-CN"/>
        </w:rPr>
        <w:t>智慧便民行动</w:t>
      </w:r>
    </w:p>
    <w:p w14:paraId="5A85530B">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一是</w:t>
      </w:r>
      <w:r>
        <w:rPr>
          <w:rFonts w:hint="default" w:ascii="Times New Roman" w:hAnsi="Times New Roman" w:eastAsia="仿宋_GB2312" w:cs="Times New Roman"/>
          <w:b/>
          <w:bCs/>
          <w:color w:val="auto"/>
          <w:sz w:val="32"/>
          <w:szCs w:val="32"/>
          <w:highlight w:val="none"/>
          <w:u w:val="none"/>
          <w:lang w:eastAsia="zh-CN"/>
        </w:rPr>
        <w:t>构建</w:t>
      </w:r>
      <w:r>
        <w:rPr>
          <w:rFonts w:hint="default" w:ascii="Times New Roman" w:hAnsi="Times New Roman" w:eastAsia="仿宋_GB2312" w:cs="Times New Roman"/>
          <w:b/>
          <w:bCs/>
          <w:color w:val="auto"/>
          <w:sz w:val="32"/>
          <w:szCs w:val="32"/>
          <w:highlight w:val="none"/>
          <w:u w:val="none"/>
          <w:lang w:val="en-US" w:eastAsia="zh-CN"/>
        </w:rPr>
        <w:t>数智</w:t>
      </w:r>
      <w:r>
        <w:rPr>
          <w:rFonts w:hint="default" w:ascii="Times New Roman" w:hAnsi="Times New Roman" w:eastAsia="仿宋_GB2312" w:cs="Times New Roman"/>
          <w:b/>
          <w:bCs/>
          <w:color w:val="auto"/>
          <w:sz w:val="32"/>
          <w:szCs w:val="32"/>
          <w:highlight w:val="none"/>
          <w:u w:val="none"/>
          <w:lang w:eastAsia="zh-CN"/>
        </w:rPr>
        <w:t>人社新基</w:t>
      </w:r>
      <w:r>
        <w:rPr>
          <w:rFonts w:hint="default" w:ascii="Times New Roman" w:hAnsi="Times New Roman" w:eastAsia="仿宋_GB2312" w:cs="Times New Roman"/>
          <w:b/>
          <w:bCs/>
          <w:color w:val="auto"/>
          <w:sz w:val="32"/>
          <w:szCs w:val="32"/>
          <w:highlight w:val="none"/>
          <w:u w:val="none"/>
          <w:lang w:val="en-US" w:eastAsia="zh-CN"/>
        </w:rPr>
        <w:t>座</w:t>
      </w:r>
      <w:r>
        <w:rPr>
          <w:rFonts w:hint="default" w:ascii="Times New Roman" w:hAnsi="Times New Roman" w:eastAsia="仿宋_GB2312" w:cs="Times New Roman"/>
          <w:b/>
          <w:bCs/>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val="en-US" w:eastAsia="zh-CN"/>
        </w:rPr>
        <w:t>建设全市统一数智人社一体化服务平台，推动高频服务事项“一端通办”。深化“人社+AI”融合，构建智能客服系统，实现政策咨询、业务引导智能化。拓展社保卡应用生态，打造集身份认证、待遇发放、民生服务于一体的“一卡通”综合服务枢纽，实现交通、文旅、医疗等多场景应用。</w:t>
      </w:r>
    </w:p>
    <w:tbl>
      <w:tblPr>
        <w:tblStyle w:val="1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F71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22" w:type="dxa"/>
            <w:shd w:val="clear" w:color="auto" w:fill="D7D7D7" w:themeFill="background1" w:themeFillShade="D8"/>
            <w:noWrap w:val="0"/>
            <w:vAlign w:val="center"/>
          </w:tcPr>
          <w:p w14:paraId="3AD23566">
            <w:pPr>
              <w:pStyle w:val="8"/>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40" w:lineRule="exact"/>
              <w:ind w:left="0" w:leftChars="0" w:right="0" w:rightChars="0" w:firstLine="0" w:firstLineChars="0"/>
              <w:jc w:val="center"/>
              <w:textAlignment w:val="baseline"/>
              <w:rPr>
                <w:rFonts w:hint="default" w:ascii="Times New Roman" w:hAnsi="Times New Roman" w:eastAsia="黑体" w:cs="Times New Roman"/>
                <w:color w:val="auto"/>
                <w:sz w:val="28"/>
                <w:szCs w:val="28"/>
                <w:highlight w:val="none"/>
                <w:u w:val="none"/>
                <w:lang w:val="en-US" w:eastAsia="zh-CN"/>
              </w:rPr>
            </w:pPr>
            <w:r>
              <w:rPr>
                <w:rFonts w:hint="default" w:ascii="Times New Roman" w:hAnsi="Times New Roman" w:eastAsia="黑体" w:cs="Times New Roman"/>
                <w:color w:val="auto"/>
                <w:kern w:val="2"/>
                <w:sz w:val="28"/>
                <w:szCs w:val="28"/>
                <w:highlight w:val="none"/>
                <w:u w:val="none"/>
                <w:vertAlign w:val="baseline"/>
                <w:lang w:val="en-US" w:eastAsia="zh-CN" w:bidi="ar-SA"/>
              </w:rPr>
              <w:t>专栏1</w:t>
            </w:r>
            <w:r>
              <w:rPr>
                <w:rFonts w:hint="eastAsia" w:ascii="Times New Roman" w:hAnsi="Times New Roman" w:eastAsia="黑体" w:cs="Times New Roman"/>
                <w:color w:val="auto"/>
                <w:kern w:val="2"/>
                <w:sz w:val="28"/>
                <w:szCs w:val="28"/>
                <w:highlight w:val="none"/>
                <w:u w:val="none"/>
                <w:vertAlign w:val="baseline"/>
                <w:lang w:val="en-US" w:eastAsia="zh-CN" w:bidi="ar-SA"/>
              </w:rPr>
              <w:t>0</w:t>
            </w:r>
            <w:r>
              <w:rPr>
                <w:rFonts w:hint="default" w:ascii="Times New Roman" w:hAnsi="Times New Roman" w:eastAsia="黑体" w:cs="Times New Roman"/>
                <w:color w:val="auto"/>
                <w:kern w:val="2"/>
                <w:sz w:val="28"/>
                <w:szCs w:val="28"/>
                <w:highlight w:val="none"/>
                <w:u w:val="none"/>
                <w:vertAlign w:val="baseline"/>
                <w:lang w:val="en-US" w:eastAsia="zh-CN" w:bidi="ar-SA"/>
              </w:rPr>
              <w:t>：就业促进和劳动保障领域数据共治共享提升行动</w:t>
            </w:r>
          </w:p>
        </w:tc>
      </w:tr>
      <w:tr w14:paraId="77B4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noWrap w:val="0"/>
            <w:vAlign w:val="top"/>
          </w:tcPr>
          <w:p w14:paraId="1CA34792">
            <w:pPr>
              <w:pStyle w:val="8"/>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400" w:lineRule="exact"/>
              <w:ind w:left="0" w:right="0" w:firstLine="480" w:firstLineChars="200"/>
              <w:textAlignment w:val="baseline"/>
              <w:rPr>
                <w:rFonts w:hint="default" w:ascii="Times New Roman" w:hAnsi="Times New Roman" w:cs="Times New Roman"/>
                <w:color w:val="auto"/>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加强就业促进和劳动保护工作统筹协调，促进政务数据依法依规高效共享，构建多部门垂直一体式数据共享机制，推动就业创业、技能培训等扶持政策精准直达重点目标群体，助力人口流入、人才引进；及时发现违规领取社会保险待遇等问题，严厉打击欺诈骗保、套保或挪用贪占各类社会保险基金的违法违规行为；加强农民工工资支付数据归集共享，深化系统治欠、数字治欠。</w:t>
            </w:r>
          </w:p>
        </w:tc>
      </w:tr>
    </w:tbl>
    <w:p w14:paraId="666710B5">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b/>
          <w:bCs/>
          <w:color w:val="auto"/>
          <w:sz w:val="32"/>
          <w:szCs w:val="32"/>
          <w:highlight w:val="none"/>
          <w:u w:val="none"/>
          <w:lang w:val="en-US" w:eastAsia="zh-CN"/>
        </w:rPr>
        <w:t>二是</w:t>
      </w:r>
      <w:r>
        <w:rPr>
          <w:rFonts w:hint="default" w:ascii="Times New Roman" w:hAnsi="Times New Roman" w:eastAsia="仿宋_GB2312" w:cs="Times New Roman"/>
          <w:b/>
          <w:bCs/>
          <w:color w:val="auto"/>
          <w:sz w:val="32"/>
          <w:szCs w:val="32"/>
          <w:highlight w:val="none"/>
          <w:u w:val="none"/>
          <w:lang w:eastAsia="zh-CN"/>
        </w:rPr>
        <w:t>推进人社政务服务深度协同。</w:t>
      </w:r>
      <w:r>
        <w:rPr>
          <w:rFonts w:hint="default" w:ascii="Times New Roman" w:hAnsi="Times New Roman" w:eastAsia="仿宋_GB2312" w:cs="Times New Roman"/>
          <w:color w:val="auto"/>
          <w:sz w:val="32"/>
          <w:szCs w:val="32"/>
          <w:highlight w:val="none"/>
          <w:u w:val="none"/>
          <w:lang w:eastAsia="zh-CN"/>
        </w:rPr>
        <w:t>以“高效办成一件事”为核心，聚焦就业、社保、人才等领域高频事项，推动人社业务系统集约整合和数据共享，实现“一件事”流程标准化、服务协同化、办理一体化。全面推行关联事项“集成办”、容缺事项“承诺办”、异地事项“跨域办”、惠企政策“免申办”，提升服务便捷度和群众获得感。</w:t>
      </w:r>
    </w:p>
    <w:p w14:paraId="18C3EBDA">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3" w:firstLineChars="200"/>
        <w:textAlignment w:val="baseline"/>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eastAsia="zh-CN"/>
        </w:rPr>
        <w:t>三是推动城乡服务同标、普惠均等。</w:t>
      </w:r>
      <w:r>
        <w:rPr>
          <w:rFonts w:hint="default" w:ascii="Times New Roman" w:hAnsi="Times New Roman" w:eastAsia="仿宋_GB2312" w:cs="Times New Roman"/>
          <w:b w:val="0"/>
          <w:bCs w:val="0"/>
          <w:color w:val="auto"/>
          <w:sz w:val="32"/>
          <w:szCs w:val="32"/>
          <w:highlight w:val="none"/>
          <w:u w:val="none"/>
          <w:lang w:val="en-US" w:eastAsia="zh-CN"/>
        </w:rPr>
        <w:t>以全国公共就业服务能力提升示范项目为牵引，推动“链式”就业服务向人社更多领域延伸，健全市、县、乡、村四级服务网络。实施基层服务能力提升工程，推动服务站点标准化建设全覆盖，拓展社银合作便民站点，打造覆盖全域的“15分钟人社服务圈”。</w:t>
      </w:r>
    </w:p>
    <w:p w14:paraId="223A1200">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textAlignment w:val="baseline"/>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val="en-US" w:eastAsia="zh-CN"/>
        </w:rPr>
        <w:t>五、保障措施</w:t>
      </w:r>
    </w:p>
    <w:p w14:paraId="3445E416">
      <w:pPr>
        <w:keepNext w:val="0"/>
        <w:keepLines w:val="0"/>
        <w:pageBreakBefore w:val="0"/>
        <w:widowControl w:val="0"/>
        <w:shd w:val="clear" w:color="auto" w:fill="auto"/>
        <w:kinsoku/>
        <w:wordWrap/>
        <w:overflowPunct w:val="0"/>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pacing w:val="-11"/>
          <w:szCs w:val="32"/>
          <w:highlight w:val="none"/>
          <w:u w:val="none"/>
        </w:rPr>
      </w:pPr>
      <w:r>
        <w:rPr>
          <w:rFonts w:hint="default" w:ascii="Times New Roman" w:hAnsi="Times New Roman" w:eastAsia="仿宋_GB2312" w:cs="Times New Roman"/>
          <w:color w:val="auto"/>
          <w:sz w:val="32"/>
          <w:szCs w:val="32"/>
          <w:highlight w:val="none"/>
          <w:u w:val="none"/>
          <w:lang w:eastAsia="zh-CN"/>
        </w:rPr>
        <w:t>全面推进法治人社建设。强化预算支撑保障。构建权责清晰、运行高效、监督有力的规划落实责任机制，加强动态监测和定期评估，做好年度计划与规划的有效衔接，确保规划执行有力、落实到位。</w:t>
      </w:r>
    </w:p>
    <w:sectPr>
      <w:headerReference r:id="rId3" w:type="default"/>
      <w:footerReference r:id="rId5" w:type="default"/>
      <w:headerReference r:id="rId4" w:type="even"/>
      <w:footerReference r:id="rId6" w:type="even"/>
      <w:pgSz w:w="11906" w:h="16838"/>
      <w:pgMar w:top="2098" w:right="1531" w:bottom="1984" w:left="1531" w:header="851" w:footer="1247"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CESI仿宋-GB2312">
    <w:panose1 w:val="02000500000000000000"/>
    <w:charset w:val="86"/>
    <w:family w:val="auto"/>
    <w:pitch w:val="default"/>
    <w:sig w:usb0="800002AF" w:usb1="084F6CF8" w:usb2="00000010" w:usb3="00000000" w:csb0="0004000F"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宋体"/>
    <w:panose1 w:val="02010609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08249">
    <w:pPr>
      <w:pStyle w:val="9"/>
      <w:ind w:right="320" w:rightChars="100"/>
      <w:jc w:val="right"/>
      <w:rPr>
        <w:rFonts w:hint="eastAsia" w:ascii="宋体" w:hAnsi="宋体" w:eastAsia="宋体" w:cs="宋体"/>
        <w:sz w:val="24"/>
        <w:lang w:eastAsia="zh-CN"/>
      </w:rPr>
    </w:pPr>
    <w:r>
      <w:rPr>
        <w:rFonts w:hint="eastAsia" w:ascii="宋体" w:hAnsi="宋体" w:eastAsia="宋体" w:cs="宋体"/>
        <w:sz w:val="24"/>
        <w:lang w:eastAsia="zh-CN"/>
      </w:rPr>
      <w:t xml:space="preserve">— </w:t>
    </w:r>
    <w:r>
      <w:rPr>
        <w:rFonts w:hint="eastAsia" w:ascii="宋体" w:hAnsi="宋体" w:eastAsia="宋体" w:cs="宋体"/>
        <w:sz w:val="24"/>
        <w:lang w:eastAsia="zh-CN"/>
      </w:rPr>
      <w:fldChar w:fldCharType="begin"/>
    </w:r>
    <w:r>
      <w:rPr>
        <w:rFonts w:hint="eastAsia" w:ascii="宋体" w:hAnsi="宋体" w:eastAsia="宋体" w:cs="宋体"/>
        <w:sz w:val="24"/>
        <w:lang w:eastAsia="zh-CN"/>
      </w:rPr>
      <w:instrText xml:space="preserve"> PAGE \* Arabic \* MERGEFORMAT </w:instrText>
    </w:r>
    <w:r>
      <w:rPr>
        <w:rFonts w:hint="eastAsia" w:ascii="宋体" w:hAnsi="宋体" w:eastAsia="宋体" w:cs="宋体"/>
        <w:sz w:val="24"/>
        <w:lang w:eastAsia="zh-CN"/>
      </w:rPr>
      <w:fldChar w:fldCharType="separate"/>
    </w:r>
    <w:r>
      <w:rPr>
        <w:rFonts w:hint="eastAsia" w:ascii="宋体" w:hAnsi="宋体" w:eastAsia="宋体" w:cs="宋体"/>
        <w:sz w:val="24"/>
        <w:lang w:eastAsia="zh-CN"/>
      </w:rPr>
      <w:t>1</w:t>
    </w:r>
    <w:r>
      <w:rPr>
        <w:rFonts w:hint="eastAsia" w:ascii="宋体" w:hAnsi="宋体" w:eastAsia="宋体" w:cs="宋体"/>
        <w:sz w:val="24"/>
        <w:lang w:eastAsia="zh-CN"/>
      </w:rPr>
      <w:fldChar w:fldCharType="end"/>
    </w:r>
    <w:r>
      <w:rPr>
        <w:rFonts w:hint="eastAsia" w:ascii="宋体" w:hAnsi="宋体" w:eastAsia="宋体" w:cs="宋体"/>
        <w:sz w:val="24"/>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C9076">
    <w:pPr>
      <w:pStyle w:val="9"/>
      <w:ind w:firstLine="240" w:firstLineChars="100"/>
      <w:jc w:val="left"/>
      <w:rPr>
        <w:rFonts w:hint="eastAsia" w:ascii="宋体" w:hAnsi="宋体" w:eastAsia="宋体" w:cs="宋体"/>
        <w:sz w:val="24"/>
        <w:lang w:eastAsia="zh-CN"/>
      </w:rPr>
    </w:pPr>
    <w:r>
      <w:rPr>
        <w:rFonts w:hint="eastAsia" w:ascii="宋体" w:hAnsi="宋体" w:eastAsia="宋体" w:cs="宋体"/>
        <w:sz w:val="24"/>
        <w:lang w:eastAsia="zh-CN"/>
      </w:rPr>
      <w:t xml:space="preserve">— </w:t>
    </w:r>
    <w:r>
      <w:rPr>
        <w:rFonts w:hint="eastAsia" w:ascii="宋体" w:hAnsi="宋体" w:eastAsia="宋体" w:cs="宋体"/>
        <w:sz w:val="24"/>
        <w:lang w:eastAsia="zh-CN"/>
      </w:rPr>
      <w:fldChar w:fldCharType="begin"/>
    </w:r>
    <w:r>
      <w:rPr>
        <w:rFonts w:hint="eastAsia" w:ascii="宋体" w:hAnsi="宋体" w:eastAsia="宋体" w:cs="宋体"/>
        <w:sz w:val="24"/>
        <w:lang w:eastAsia="zh-CN"/>
      </w:rPr>
      <w:instrText xml:space="preserve"> PAGE \* Arabic \* MERGEFORMAT </w:instrText>
    </w:r>
    <w:r>
      <w:rPr>
        <w:rFonts w:hint="eastAsia" w:ascii="宋体" w:hAnsi="宋体" w:eastAsia="宋体" w:cs="宋体"/>
        <w:sz w:val="24"/>
        <w:lang w:eastAsia="zh-CN"/>
      </w:rPr>
      <w:fldChar w:fldCharType="separate"/>
    </w:r>
    <w:r>
      <w:rPr>
        <w:rFonts w:hint="eastAsia" w:ascii="宋体" w:hAnsi="宋体" w:eastAsia="宋体" w:cs="宋体"/>
        <w:sz w:val="24"/>
        <w:lang w:eastAsia="zh-CN"/>
      </w:rPr>
      <w:t>2</w:t>
    </w:r>
    <w:r>
      <w:rPr>
        <w:rFonts w:hint="eastAsia" w:ascii="宋体" w:hAnsi="宋体" w:eastAsia="宋体" w:cs="宋体"/>
        <w:sz w:val="24"/>
        <w:lang w:eastAsia="zh-CN"/>
      </w:rPr>
      <w:fldChar w:fldCharType="end"/>
    </w:r>
    <w:r>
      <w:rPr>
        <w:rFonts w:hint="eastAsia" w:ascii="宋体" w:hAnsi="宋体" w:eastAsia="宋体" w:cs="宋体"/>
        <w:sz w:val="24"/>
        <w:lang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B651">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9EF18">
    <w:pPr>
      <w:pStyle w:val="11"/>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C6B"/>
    <w:rsid w:val="000A75C4"/>
    <w:rsid w:val="000D4BC4"/>
    <w:rsid w:val="00101376"/>
    <w:rsid w:val="0013619B"/>
    <w:rsid w:val="002163DD"/>
    <w:rsid w:val="00235B21"/>
    <w:rsid w:val="003406D0"/>
    <w:rsid w:val="00374498"/>
    <w:rsid w:val="00380C6B"/>
    <w:rsid w:val="003A0B2D"/>
    <w:rsid w:val="0045062B"/>
    <w:rsid w:val="00465708"/>
    <w:rsid w:val="004C4DE2"/>
    <w:rsid w:val="004D3B99"/>
    <w:rsid w:val="005246ED"/>
    <w:rsid w:val="00583347"/>
    <w:rsid w:val="005C11C9"/>
    <w:rsid w:val="005D27D7"/>
    <w:rsid w:val="005F6B17"/>
    <w:rsid w:val="00613D34"/>
    <w:rsid w:val="00675593"/>
    <w:rsid w:val="006E266E"/>
    <w:rsid w:val="00732CF8"/>
    <w:rsid w:val="00771691"/>
    <w:rsid w:val="007D2307"/>
    <w:rsid w:val="007E3076"/>
    <w:rsid w:val="007F39F1"/>
    <w:rsid w:val="008B28B5"/>
    <w:rsid w:val="00933709"/>
    <w:rsid w:val="00A641FB"/>
    <w:rsid w:val="00A714F7"/>
    <w:rsid w:val="00A86BC6"/>
    <w:rsid w:val="00B1698F"/>
    <w:rsid w:val="00B73054"/>
    <w:rsid w:val="00B90052"/>
    <w:rsid w:val="00CC66A2"/>
    <w:rsid w:val="00CF7795"/>
    <w:rsid w:val="00D028B7"/>
    <w:rsid w:val="00DD5D0A"/>
    <w:rsid w:val="00E61A0B"/>
    <w:rsid w:val="00E9610F"/>
    <w:rsid w:val="00EC3BC8"/>
    <w:rsid w:val="00EF6DA9"/>
    <w:rsid w:val="00F46FFF"/>
    <w:rsid w:val="00F90ACF"/>
    <w:rsid w:val="00F91A10"/>
    <w:rsid w:val="00FC0687"/>
    <w:rsid w:val="01353CA4"/>
    <w:rsid w:val="017A5B22"/>
    <w:rsid w:val="023F0464"/>
    <w:rsid w:val="02783CAF"/>
    <w:rsid w:val="02B26E88"/>
    <w:rsid w:val="02BA5D3C"/>
    <w:rsid w:val="02CD2552"/>
    <w:rsid w:val="03914CEF"/>
    <w:rsid w:val="048C54B6"/>
    <w:rsid w:val="06231E4A"/>
    <w:rsid w:val="07CA4C73"/>
    <w:rsid w:val="07D23B28"/>
    <w:rsid w:val="081E698F"/>
    <w:rsid w:val="0A1C108A"/>
    <w:rsid w:val="0B887B66"/>
    <w:rsid w:val="0B9A495D"/>
    <w:rsid w:val="0C0369A6"/>
    <w:rsid w:val="0C1C1816"/>
    <w:rsid w:val="0D237050"/>
    <w:rsid w:val="0DA624A1"/>
    <w:rsid w:val="0E056A05"/>
    <w:rsid w:val="0E77636A"/>
    <w:rsid w:val="0EA855E3"/>
    <w:rsid w:val="0EDF2573"/>
    <w:rsid w:val="0FAD09AC"/>
    <w:rsid w:val="10736D06"/>
    <w:rsid w:val="109C5A92"/>
    <w:rsid w:val="10D12BCF"/>
    <w:rsid w:val="11563515"/>
    <w:rsid w:val="11D64215"/>
    <w:rsid w:val="11F8469E"/>
    <w:rsid w:val="120B0362"/>
    <w:rsid w:val="13141499"/>
    <w:rsid w:val="13A34B6B"/>
    <w:rsid w:val="14804FA8"/>
    <w:rsid w:val="15451DA0"/>
    <w:rsid w:val="15BA53E4"/>
    <w:rsid w:val="16086320"/>
    <w:rsid w:val="167164AE"/>
    <w:rsid w:val="167C538B"/>
    <w:rsid w:val="1682502D"/>
    <w:rsid w:val="16E34270"/>
    <w:rsid w:val="17367C2F"/>
    <w:rsid w:val="19263CD4"/>
    <w:rsid w:val="196A036B"/>
    <w:rsid w:val="19AE61A3"/>
    <w:rsid w:val="19BE7006"/>
    <w:rsid w:val="1A0C6D6C"/>
    <w:rsid w:val="1A6E239A"/>
    <w:rsid w:val="1A9702D9"/>
    <w:rsid w:val="1A9F0527"/>
    <w:rsid w:val="1AE259D8"/>
    <w:rsid w:val="1B2808BE"/>
    <w:rsid w:val="1B3B6807"/>
    <w:rsid w:val="1BD3676E"/>
    <w:rsid w:val="1C384078"/>
    <w:rsid w:val="1D012A8E"/>
    <w:rsid w:val="1D1C1676"/>
    <w:rsid w:val="1DDCEBCE"/>
    <w:rsid w:val="1E8F40C9"/>
    <w:rsid w:val="1EC9768B"/>
    <w:rsid w:val="1ECB5101"/>
    <w:rsid w:val="1F134CFA"/>
    <w:rsid w:val="20823EE5"/>
    <w:rsid w:val="20CC16C0"/>
    <w:rsid w:val="211D6258"/>
    <w:rsid w:val="213071CC"/>
    <w:rsid w:val="213D605E"/>
    <w:rsid w:val="21AC3DB3"/>
    <w:rsid w:val="21B005DE"/>
    <w:rsid w:val="230C5CE8"/>
    <w:rsid w:val="23A710EC"/>
    <w:rsid w:val="23FE28AE"/>
    <w:rsid w:val="241705C2"/>
    <w:rsid w:val="246668D8"/>
    <w:rsid w:val="254F629A"/>
    <w:rsid w:val="256C2A6E"/>
    <w:rsid w:val="268C657C"/>
    <w:rsid w:val="278422F1"/>
    <w:rsid w:val="27C748D4"/>
    <w:rsid w:val="283963FA"/>
    <w:rsid w:val="28BA3DD2"/>
    <w:rsid w:val="2BA411B4"/>
    <w:rsid w:val="2BA55D6D"/>
    <w:rsid w:val="2BAF7B59"/>
    <w:rsid w:val="2BC92BBA"/>
    <w:rsid w:val="2C5A3F68"/>
    <w:rsid w:val="2CEA52EC"/>
    <w:rsid w:val="2D742E08"/>
    <w:rsid w:val="2DFA769C"/>
    <w:rsid w:val="2E00589D"/>
    <w:rsid w:val="2E903C71"/>
    <w:rsid w:val="2EE87609"/>
    <w:rsid w:val="2FB67190"/>
    <w:rsid w:val="309416EA"/>
    <w:rsid w:val="30E16A06"/>
    <w:rsid w:val="311B050A"/>
    <w:rsid w:val="318178A1"/>
    <w:rsid w:val="319B6BB5"/>
    <w:rsid w:val="325B6344"/>
    <w:rsid w:val="332B3F69"/>
    <w:rsid w:val="333DFFBE"/>
    <w:rsid w:val="33B94DAA"/>
    <w:rsid w:val="33CA7588"/>
    <w:rsid w:val="33D402CE"/>
    <w:rsid w:val="33F61609"/>
    <w:rsid w:val="34770814"/>
    <w:rsid w:val="349465BB"/>
    <w:rsid w:val="34E55D5A"/>
    <w:rsid w:val="357D4824"/>
    <w:rsid w:val="35CD1307"/>
    <w:rsid w:val="35DC1034"/>
    <w:rsid w:val="361B4B66"/>
    <w:rsid w:val="3632560E"/>
    <w:rsid w:val="379F4F25"/>
    <w:rsid w:val="37CC0FB8"/>
    <w:rsid w:val="37FF0BB7"/>
    <w:rsid w:val="380134EA"/>
    <w:rsid w:val="380644C8"/>
    <w:rsid w:val="38732C8C"/>
    <w:rsid w:val="38817B5D"/>
    <w:rsid w:val="38F87A81"/>
    <w:rsid w:val="391D0763"/>
    <w:rsid w:val="39565AB7"/>
    <w:rsid w:val="395939A3"/>
    <w:rsid w:val="39663F4D"/>
    <w:rsid w:val="3A742699"/>
    <w:rsid w:val="3AEE274E"/>
    <w:rsid w:val="3B163750"/>
    <w:rsid w:val="3B3D5753"/>
    <w:rsid w:val="3B4C4F6E"/>
    <w:rsid w:val="3B8B7C9A"/>
    <w:rsid w:val="3BB75567"/>
    <w:rsid w:val="3BD32474"/>
    <w:rsid w:val="3BDE6508"/>
    <w:rsid w:val="3C1F4887"/>
    <w:rsid w:val="3C4D31A2"/>
    <w:rsid w:val="3C964160"/>
    <w:rsid w:val="3D8B1DA1"/>
    <w:rsid w:val="3D9571FC"/>
    <w:rsid w:val="3DA53D17"/>
    <w:rsid w:val="3DAF3647"/>
    <w:rsid w:val="3DDB6CB9"/>
    <w:rsid w:val="3DEEFA87"/>
    <w:rsid w:val="3E764760"/>
    <w:rsid w:val="3ED7E82A"/>
    <w:rsid w:val="3F4536FB"/>
    <w:rsid w:val="3F5C54AA"/>
    <w:rsid w:val="3F6D20DE"/>
    <w:rsid w:val="3FA456A9"/>
    <w:rsid w:val="4004626D"/>
    <w:rsid w:val="40C61775"/>
    <w:rsid w:val="417148FA"/>
    <w:rsid w:val="42350960"/>
    <w:rsid w:val="42974BBA"/>
    <w:rsid w:val="42B23D5F"/>
    <w:rsid w:val="42DF6561"/>
    <w:rsid w:val="42F06635"/>
    <w:rsid w:val="435F9D06"/>
    <w:rsid w:val="43657023"/>
    <w:rsid w:val="44004F9E"/>
    <w:rsid w:val="447D1796"/>
    <w:rsid w:val="45A2455E"/>
    <w:rsid w:val="463361B9"/>
    <w:rsid w:val="464B26F3"/>
    <w:rsid w:val="47A619B8"/>
    <w:rsid w:val="48605E44"/>
    <w:rsid w:val="48D8177F"/>
    <w:rsid w:val="49020449"/>
    <w:rsid w:val="498E648E"/>
    <w:rsid w:val="499A72FA"/>
    <w:rsid w:val="4A807454"/>
    <w:rsid w:val="4AF75215"/>
    <w:rsid w:val="4B007631"/>
    <w:rsid w:val="4B6476B6"/>
    <w:rsid w:val="4BB9615E"/>
    <w:rsid w:val="4BF162E6"/>
    <w:rsid w:val="4C6B67DC"/>
    <w:rsid w:val="4C7C718B"/>
    <w:rsid w:val="4CCD2D45"/>
    <w:rsid w:val="4CDB701D"/>
    <w:rsid w:val="4DA30E74"/>
    <w:rsid w:val="4DDA060D"/>
    <w:rsid w:val="4DDB77C2"/>
    <w:rsid w:val="4DFD4D1E"/>
    <w:rsid w:val="4E220638"/>
    <w:rsid w:val="4E775E5C"/>
    <w:rsid w:val="4EEC23A6"/>
    <w:rsid w:val="4EF74338"/>
    <w:rsid w:val="518D1CB2"/>
    <w:rsid w:val="51D27F79"/>
    <w:rsid w:val="521265C8"/>
    <w:rsid w:val="525766D1"/>
    <w:rsid w:val="52B64E54"/>
    <w:rsid w:val="52F42171"/>
    <w:rsid w:val="52FA1689"/>
    <w:rsid w:val="53194193"/>
    <w:rsid w:val="537FBEE4"/>
    <w:rsid w:val="53A92700"/>
    <w:rsid w:val="54C00AF2"/>
    <w:rsid w:val="5513D878"/>
    <w:rsid w:val="5560589C"/>
    <w:rsid w:val="557FBF70"/>
    <w:rsid w:val="55C96798"/>
    <w:rsid w:val="55D51756"/>
    <w:rsid w:val="55FB66C8"/>
    <w:rsid w:val="563F411F"/>
    <w:rsid w:val="56EF7547"/>
    <w:rsid w:val="56FF48C4"/>
    <w:rsid w:val="577D0DB9"/>
    <w:rsid w:val="58C13E3C"/>
    <w:rsid w:val="58F20F01"/>
    <w:rsid w:val="59130003"/>
    <w:rsid w:val="5A353980"/>
    <w:rsid w:val="5A533C21"/>
    <w:rsid w:val="5A631B49"/>
    <w:rsid w:val="5A8C0EE1"/>
    <w:rsid w:val="5ABF12B7"/>
    <w:rsid w:val="5B661732"/>
    <w:rsid w:val="5BBF0771"/>
    <w:rsid w:val="5C9E30A7"/>
    <w:rsid w:val="5CAC022B"/>
    <w:rsid w:val="5CCB1593"/>
    <w:rsid w:val="5D3E7791"/>
    <w:rsid w:val="5D5E0913"/>
    <w:rsid w:val="5DC5257D"/>
    <w:rsid w:val="5DFCBD71"/>
    <w:rsid w:val="5E191245"/>
    <w:rsid w:val="5E767E8F"/>
    <w:rsid w:val="5E77BAC4"/>
    <w:rsid w:val="5E806A4E"/>
    <w:rsid w:val="5F334021"/>
    <w:rsid w:val="5F7BA7FE"/>
    <w:rsid w:val="5F9A19AB"/>
    <w:rsid w:val="5FAD1CF8"/>
    <w:rsid w:val="5FD31343"/>
    <w:rsid w:val="6051475F"/>
    <w:rsid w:val="612E72BF"/>
    <w:rsid w:val="61E67129"/>
    <w:rsid w:val="62E01DCA"/>
    <w:rsid w:val="62FBF44B"/>
    <w:rsid w:val="630E6A00"/>
    <w:rsid w:val="632F68AE"/>
    <w:rsid w:val="634D1C25"/>
    <w:rsid w:val="63BF3A94"/>
    <w:rsid w:val="642503DD"/>
    <w:rsid w:val="647C0F03"/>
    <w:rsid w:val="64850E7B"/>
    <w:rsid w:val="64C32DE8"/>
    <w:rsid w:val="65224C19"/>
    <w:rsid w:val="6558235D"/>
    <w:rsid w:val="662D41D7"/>
    <w:rsid w:val="667529CC"/>
    <w:rsid w:val="667F5DCE"/>
    <w:rsid w:val="669B4986"/>
    <w:rsid w:val="66B71094"/>
    <w:rsid w:val="672F4A82"/>
    <w:rsid w:val="67F87BB6"/>
    <w:rsid w:val="688A2F04"/>
    <w:rsid w:val="68A33FD5"/>
    <w:rsid w:val="68B85A0A"/>
    <w:rsid w:val="68E7605B"/>
    <w:rsid w:val="699B2EEF"/>
    <w:rsid w:val="69C266CE"/>
    <w:rsid w:val="69E40936"/>
    <w:rsid w:val="6A627569"/>
    <w:rsid w:val="6A8614A9"/>
    <w:rsid w:val="6AAB7162"/>
    <w:rsid w:val="6AFD72E0"/>
    <w:rsid w:val="6BAA7419"/>
    <w:rsid w:val="6BD3E522"/>
    <w:rsid w:val="6C005EAC"/>
    <w:rsid w:val="6CB87914"/>
    <w:rsid w:val="6CB9C009"/>
    <w:rsid w:val="6CCD7863"/>
    <w:rsid w:val="6DB8406F"/>
    <w:rsid w:val="6E7D71C4"/>
    <w:rsid w:val="6EAC5256"/>
    <w:rsid w:val="6EE5D759"/>
    <w:rsid w:val="6EE60768"/>
    <w:rsid w:val="6F0F5516"/>
    <w:rsid w:val="6FDF8A6A"/>
    <w:rsid w:val="6FF15617"/>
    <w:rsid w:val="6FFAAE0F"/>
    <w:rsid w:val="704901D4"/>
    <w:rsid w:val="70F35A51"/>
    <w:rsid w:val="71070737"/>
    <w:rsid w:val="712F7D57"/>
    <w:rsid w:val="713E3D3A"/>
    <w:rsid w:val="71B06D5F"/>
    <w:rsid w:val="71FFB39F"/>
    <w:rsid w:val="720D7D02"/>
    <w:rsid w:val="73025D8D"/>
    <w:rsid w:val="733FE275"/>
    <w:rsid w:val="737E3665"/>
    <w:rsid w:val="73AA0E77"/>
    <w:rsid w:val="73E8637D"/>
    <w:rsid w:val="73EF5B06"/>
    <w:rsid w:val="73F7E289"/>
    <w:rsid w:val="744B7916"/>
    <w:rsid w:val="748D632A"/>
    <w:rsid w:val="748D7B1F"/>
    <w:rsid w:val="75390766"/>
    <w:rsid w:val="757B54BA"/>
    <w:rsid w:val="75B23B3C"/>
    <w:rsid w:val="76FFA02F"/>
    <w:rsid w:val="76FFC387"/>
    <w:rsid w:val="773A75B3"/>
    <w:rsid w:val="7747735B"/>
    <w:rsid w:val="775FA2D0"/>
    <w:rsid w:val="77B9AA5F"/>
    <w:rsid w:val="77EF3BD8"/>
    <w:rsid w:val="77FFC6CE"/>
    <w:rsid w:val="78EE303B"/>
    <w:rsid w:val="79A27982"/>
    <w:rsid w:val="79D272E4"/>
    <w:rsid w:val="7B6770D5"/>
    <w:rsid w:val="7BBF9507"/>
    <w:rsid w:val="7C2C0D6F"/>
    <w:rsid w:val="7C3940F6"/>
    <w:rsid w:val="7C475AF6"/>
    <w:rsid w:val="7CBA91C6"/>
    <w:rsid w:val="7CFD3F0B"/>
    <w:rsid w:val="7CFE35B0"/>
    <w:rsid w:val="7CFF43DB"/>
    <w:rsid w:val="7CFFBF86"/>
    <w:rsid w:val="7D0B34FA"/>
    <w:rsid w:val="7D35B9B3"/>
    <w:rsid w:val="7D5316BF"/>
    <w:rsid w:val="7D7FBA9D"/>
    <w:rsid w:val="7DBE1629"/>
    <w:rsid w:val="7DED08D2"/>
    <w:rsid w:val="7E2F3142"/>
    <w:rsid w:val="7E682F48"/>
    <w:rsid w:val="7E6EFD04"/>
    <w:rsid w:val="7E955D07"/>
    <w:rsid w:val="7EC31E38"/>
    <w:rsid w:val="7EE22D8E"/>
    <w:rsid w:val="7EF60723"/>
    <w:rsid w:val="7EFB9755"/>
    <w:rsid w:val="7EFBD885"/>
    <w:rsid w:val="7F2552DD"/>
    <w:rsid w:val="7F2BAEE1"/>
    <w:rsid w:val="7F3B4503"/>
    <w:rsid w:val="7F3F3023"/>
    <w:rsid w:val="7F4D16AD"/>
    <w:rsid w:val="7F5B497E"/>
    <w:rsid w:val="7F9FDAA6"/>
    <w:rsid w:val="7FD25652"/>
    <w:rsid w:val="7FFC0E3A"/>
    <w:rsid w:val="7FFFFC1C"/>
    <w:rsid w:val="87BD45E0"/>
    <w:rsid w:val="93F53C42"/>
    <w:rsid w:val="97AF7121"/>
    <w:rsid w:val="97BF31B2"/>
    <w:rsid w:val="9EDBEB56"/>
    <w:rsid w:val="9EFF5189"/>
    <w:rsid w:val="AA5FD8DF"/>
    <w:rsid w:val="ABFD5F88"/>
    <w:rsid w:val="AECF1C43"/>
    <w:rsid w:val="AFEFB29C"/>
    <w:rsid w:val="B2FB6F0D"/>
    <w:rsid w:val="B9EF2CC8"/>
    <w:rsid w:val="B9F33656"/>
    <w:rsid w:val="BDFF0A92"/>
    <w:rsid w:val="BDFFC36B"/>
    <w:rsid w:val="BE57DB26"/>
    <w:rsid w:val="BE9B5CE3"/>
    <w:rsid w:val="BEFD4E60"/>
    <w:rsid w:val="BF7A8052"/>
    <w:rsid w:val="BF7BECFB"/>
    <w:rsid w:val="BFFC8AB5"/>
    <w:rsid w:val="C6E57F37"/>
    <w:rsid w:val="C7FD2680"/>
    <w:rsid w:val="CC5F03A7"/>
    <w:rsid w:val="CCDF0615"/>
    <w:rsid w:val="CE7F5642"/>
    <w:rsid w:val="CF652152"/>
    <w:rsid w:val="D1F78F19"/>
    <w:rsid w:val="D7AD7E3D"/>
    <w:rsid w:val="DD9FC462"/>
    <w:rsid w:val="DDFD449A"/>
    <w:rsid w:val="DFDC3BC2"/>
    <w:rsid w:val="DFDDBC2F"/>
    <w:rsid w:val="E9BF4628"/>
    <w:rsid w:val="EAF624E5"/>
    <w:rsid w:val="EBE3A603"/>
    <w:rsid w:val="EDDDF93B"/>
    <w:rsid w:val="EEFBFEFF"/>
    <w:rsid w:val="EF3E7707"/>
    <w:rsid w:val="F47FD33F"/>
    <w:rsid w:val="F59FB2CF"/>
    <w:rsid w:val="F5FBC111"/>
    <w:rsid w:val="F7DFADCA"/>
    <w:rsid w:val="F9EA1879"/>
    <w:rsid w:val="F9EF90AB"/>
    <w:rsid w:val="F9FFF6F2"/>
    <w:rsid w:val="FA73E7A5"/>
    <w:rsid w:val="FB7D846B"/>
    <w:rsid w:val="FB7FF473"/>
    <w:rsid w:val="FBB64B46"/>
    <w:rsid w:val="FBB7AFB4"/>
    <w:rsid w:val="FBC7CA7D"/>
    <w:rsid w:val="FBDC8D1D"/>
    <w:rsid w:val="FBF5BCBE"/>
    <w:rsid w:val="FCEF3F73"/>
    <w:rsid w:val="FCFBD7AD"/>
    <w:rsid w:val="FD5F3D7D"/>
    <w:rsid w:val="FDF24057"/>
    <w:rsid w:val="FEFE6A5A"/>
    <w:rsid w:val="FF0FD9DF"/>
    <w:rsid w:val="FF2F3D6F"/>
    <w:rsid w:val="FF2F97D4"/>
    <w:rsid w:val="FFB3DA86"/>
    <w:rsid w:val="FFB5B651"/>
    <w:rsid w:val="FFB7E5DA"/>
    <w:rsid w:val="FFE7CE90"/>
    <w:rsid w:val="FFEF37CB"/>
    <w:rsid w:val="FFFAB5C5"/>
    <w:rsid w:val="FFFE4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99"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CESI仿宋-GB2312" w:cs="Times New Roman"/>
      <w:kern w:val="2"/>
      <w:sz w:val="32"/>
      <w:szCs w:val="24"/>
      <w:lang w:val="en-US" w:eastAsia="zh-CN" w:bidi="ar-SA"/>
    </w:rPr>
  </w:style>
  <w:style w:type="paragraph" w:styleId="4">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5">
    <w:name w:val="heading 2"/>
    <w:basedOn w:val="1"/>
    <w:next w:val="1"/>
    <w:unhideWhenUsed/>
    <w:qFormat/>
    <w:uiPriority w:val="0"/>
    <w:pPr>
      <w:keepNext w:val="0"/>
      <w:keepLines w:val="0"/>
      <w:spacing w:beforeLines="0" w:beforeAutospacing="0" w:afterLines="0" w:afterAutospacing="0" w:line="560" w:lineRule="exact"/>
      <w:ind w:firstLine="880" w:firstLineChars="200"/>
      <w:outlineLvl w:val="1"/>
    </w:pPr>
    <w:rPr>
      <w:rFonts w:ascii="Arial" w:hAnsi="Arial" w:eastAsia="黑体" w:cs="Times New Roman"/>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99"/>
    <w:pPr>
      <w:spacing w:after="120"/>
      <w:ind w:left="420" w:leftChars="200"/>
    </w:pPr>
  </w:style>
  <w:style w:type="paragraph" w:styleId="6">
    <w:name w:val="Normal Indent"/>
    <w:basedOn w:val="1"/>
    <w:next w:val="1"/>
    <w:qFormat/>
    <w:uiPriority w:val="0"/>
    <w:pPr>
      <w:ind w:firstLine="420" w:firstLineChars="200"/>
    </w:pPr>
  </w:style>
  <w:style w:type="paragraph" w:styleId="7">
    <w:name w:val="index 5"/>
    <w:next w:val="1"/>
    <w:unhideWhenUsed/>
    <w:qFormat/>
    <w:uiPriority w:val="99"/>
    <w:pPr>
      <w:widowControl w:val="0"/>
      <w:ind w:left="1680"/>
      <w:jc w:val="both"/>
    </w:pPr>
    <w:rPr>
      <w:rFonts w:ascii="Calibri" w:hAnsi="Calibri" w:eastAsia="宋体" w:cs="Times New Roman"/>
      <w:kern w:val="2"/>
      <w:sz w:val="21"/>
      <w:szCs w:val="22"/>
      <w:lang w:val="en-US" w:eastAsia="zh-CN" w:bidi="ar-SA"/>
    </w:rPr>
  </w:style>
  <w:style w:type="paragraph" w:styleId="8">
    <w:name w:val="Body Text"/>
    <w:basedOn w:val="1"/>
    <w:next w:val="9"/>
    <w:link w:val="19"/>
    <w:qFormat/>
    <w:uiPriority w:val="0"/>
    <w:rPr>
      <w:rFonts w:ascii="仿宋" w:hAnsi="仿宋" w:eastAsia="仿宋" w:cs="仿宋"/>
      <w:sz w:val="31"/>
      <w:szCs w:val="31"/>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Balloon Text"/>
    <w:basedOn w:val="1"/>
    <w:link w:val="21"/>
    <w:semiHidden/>
    <w:unhideWhenUsed/>
    <w:qFormat/>
    <w:uiPriority w:val="99"/>
    <w:rPr>
      <w:sz w:val="18"/>
      <w:szCs w:val="18"/>
    </w:rPr>
  </w:style>
  <w:style w:type="paragraph" w:styleId="11">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link w:val="20"/>
    <w:qFormat/>
    <w:uiPriority w:val="99"/>
    <w:pPr>
      <w:snapToGrid w:val="0"/>
      <w:jc w:val="left"/>
    </w:pPr>
    <w:rPr>
      <w:rFonts w:eastAsia="宋体" w:cs="宋体"/>
    </w:r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bCs/>
    </w:rPr>
  </w:style>
  <w:style w:type="character" w:customStyle="1" w:styleId="17">
    <w:name w:val="页眉 Char"/>
    <w:basedOn w:val="15"/>
    <w:link w:val="11"/>
    <w:qFormat/>
    <w:uiPriority w:val="99"/>
    <w:rPr>
      <w:sz w:val="18"/>
      <w:szCs w:val="18"/>
    </w:rPr>
  </w:style>
  <w:style w:type="character" w:customStyle="1" w:styleId="18">
    <w:name w:val="页脚 Char"/>
    <w:basedOn w:val="15"/>
    <w:link w:val="9"/>
    <w:qFormat/>
    <w:uiPriority w:val="99"/>
    <w:rPr>
      <w:sz w:val="18"/>
      <w:szCs w:val="18"/>
    </w:rPr>
  </w:style>
  <w:style w:type="character" w:customStyle="1" w:styleId="19">
    <w:name w:val="正文文本 Char"/>
    <w:basedOn w:val="15"/>
    <w:link w:val="8"/>
    <w:qFormat/>
    <w:uiPriority w:val="0"/>
    <w:rPr>
      <w:rFonts w:ascii="仿宋" w:hAnsi="仿宋" w:eastAsia="仿宋" w:cs="仿宋"/>
      <w:sz w:val="31"/>
      <w:szCs w:val="31"/>
    </w:rPr>
  </w:style>
  <w:style w:type="character" w:customStyle="1" w:styleId="20">
    <w:name w:val="脚注文本 Char"/>
    <w:basedOn w:val="15"/>
    <w:link w:val="12"/>
    <w:qFormat/>
    <w:uiPriority w:val="99"/>
    <w:rPr>
      <w:rFonts w:ascii="Calibri" w:hAnsi="Calibri" w:eastAsia="宋体" w:cs="宋体"/>
      <w:szCs w:val="24"/>
    </w:rPr>
  </w:style>
  <w:style w:type="character" w:customStyle="1" w:styleId="21">
    <w:name w:val="批注框文本 Char"/>
    <w:basedOn w:val="15"/>
    <w:link w:val="10"/>
    <w:semiHidden/>
    <w:qFormat/>
    <w:uiPriority w:val="99"/>
    <w:rPr>
      <w:rFonts w:eastAsia="CESI仿宋-GB2312" w:cs="Times New Roman"/>
      <w:sz w:val="18"/>
      <w:szCs w:val="18"/>
    </w:rPr>
  </w:style>
  <w:style w:type="table" w:customStyle="1" w:styleId="22">
    <w:name w:val="网格型1"/>
    <w:basedOn w:val="23"/>
    <w:qFormat/>
    <w:uiPriority w:val="0"/>
    <w:pPr>
      <w:widowControl w:val="0"/>
      <w:jc w:val="both"/>
    </w:pPr>
  </w:style>
  <w:style w:type="table" w:customStyle="1" w:styleId="23">
    <w:name w:val="普通表格1"/>
    <w:semiHidden/>
    <w:qFormat/>
    <w:uiPriority w:val="0"/>
  </w:style>
  <w:style w:type="paragraph" w:customStyle="1" w:styleId="24">
    <w:name w:val="正文文本1"/>
    <w:basedOn w:val="1"/>
    <w:qFormat/>
    <w:uiPriority w:val="0"/>
    <w:pPr>
      <w:spacing w:before="0" w:after="140" w:line="276" w:lineRule="auto"/>
    </w:pPr>
  </w:style>
  <w:style w:type="paragraph" w:customStyle="1" w:styleId="25">
    <w:name w:val="页脚1"/>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11762</Words>
  <Characters>12105</Characters>
  <Lines>22</Lines>
  <Paragraphs>6</Paragraphs>
  <TotalTime>2</TotalTime>
  <ScaleCrop>false</ScaleCrop>
  <LinksUpToDate>false</LinksUpToDate>
  <CharactersWithSpaces>12148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2025-12-24T17:04:00Z</dcterms:created>
  <dc:creator>zhangyang</dc:creator>
  <cp:lastModifiedBy>greatwall</cp:lastModifiedBy>
  <cp:lastPrinted>2025-12-24T21:41:00Z</cp:lastPrinted>
  <dcterms:modified xsi:type="dcterms:W3CDTF">2026-09-09T17:24:06Z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EAEC0C6441D1CDD5B625A16A3AE43AAA_43</vt:lpwstr>
  </property>
  <property fmtid="{D5CDD505-2E9C-101B-9397-08002B2CF9AE}" pid="3" name="KSOTemplateDocerSaveRecord">
    <vt:lpwstr>eyJoZGlkIjoiM2I1YTYwYTNiMjUzMGU5NjI1M2FjNzQ5MWE4ZjI0OGQiLCJ1c2VySWQiOiI0MTYxMTg0MDUifQ==</vt:lpwstr>
  </property>
  <property fmtid="{D5CDD505-2E9C-101B-9397-08002B2CF9AE}" pid="4" name="KSOProductBuildVer">
    <vt:lpwstr>2052-12.8.2.1119</vt:lpwstr>
  </property>
</Properties>
</file>