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附件7</w:t>
      </w:r>
      <w:bookmarkStart w:id="0" w:name="_GoBack"/>
      <w:bookmarkEnd w:id="0"/>
    </w:p>
    <w:tbl>
      <w:tblPr>
        <w:tblStyle w:val="4"/>
        <w:tblW w:w="8480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0"/>
        <w:gridCol w:w="2540"/>
        <w:gridCol w:w="2060"/>
        <w:gridCol w:w="179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jc w:val="center"/>
              <w:rPr/>
            </w:pPr>
            <w:r>
              <w:rPr>
                <w:rFonts w:hint="eastAsia"/>
              </w:rPr>
              <w:t>2019年部门“三公”经费支出预算表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63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单位名称：市劳动就业局</w:t>
            </w:r>
          </w:p>
        </w:tc>
        <w:tc>
          <w:tcPr>
            <w:tcW w:w="385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项目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财政拨款安排“三公”经费支出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0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</w:p>
        </w:tc>
        <w:tc>
          <w:tcPr>
            <w:tcW w:w="2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合计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商品和服务支出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项目支出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“三公”经费合计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2.50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2.50</w:t>
            </w:r>
          </w:p>
        </w:tc>
        <w:tc>
          <w:tcPr>
            <w:tcW w:w="179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1、因公出国境费用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0　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0　</w:t>
            </w:r>
          </w:p>
        </w:tc>
        <w:tc>
          <w:tcPr>
            <w:tcW w:w="1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2、公务用车购置和运行费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0　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0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 xml:space="preserve">  公务用车购置费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0　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0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 xml:space="preserve">  公务用车运行费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0　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0　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3、公务接待费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2.50</w:t>
            </w:r>
          </w:p>
        </w:tc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2.50</w:t>
            </w:r>
          </w:p>
        </w:tc>
        <w:tc>
          <w:tcPr>
            <w:tcW w:w="1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FF6DDD"/>
    <w:rsid w:val="17FF6D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2019-02-20T11:35:00Z</dcterms:created>
  <dc:creator>啸坤</dc:creator>
  <cp:lastModifiedBy>啸坤</cp:lastModifiedBy>
  <dcterms:modified xsi:type="dcterms:W3CDTF">2019-02-20T11:35:33Z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