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附件1</w:t>
      </w:r>
    </w:p>
    <w:bookmarkEnd w:id="0"/>
    <w:tbl>
      <w:tblPr>
        <w:tblStyle w:val="4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000"/>
        <w:gridCol w:w="1700"/>
        <w:gridCol w:w="1100"/>
        <w:gridCol w:w="1800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/>
            </w:pPr>
            <w:r>
              <w:rPr>
                <w:rFonts w:hint="eastAsia"/>
              </w:rPr>
              <w:t>2019 年 部 门 收 支 总 体 情 况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单位名称：市劳动就业局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收 入 项 目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预 算 数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经 济 分 类 支 出 项 目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预  算  数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功 能 分 类 支 出 项 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预  算  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本年收入合计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1716.08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一、本年支出合计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1716.08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一、本年支出合计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1716.08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1、财政拨款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1716.08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1、基本支出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【201】一般公共服务支出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(1)经费拨款（补助）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1716.08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(1)工资福利支出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【202】外交支出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(2)纳入预算管理的行政事业性收费安排的拨款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(2)商品和服务支出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【203】国防支出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(3)纳入预算管理的罚没收入安排的拨款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(3)对个人和家庭补助支出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【204】公共安全支出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(4)纳入预算管理的政府性基金收入安排的拨款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2、项目支出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1,085.00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【205】教育支出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(5)纳入预算管理的专项收入安排的拨款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【206】科学技术支出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(6)纳入预算管理的国有资产有偿使用收入安排的拨款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【207】文化体育与传媒支出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【208】社会保障和就业支出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1716.08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2、专户管理的事业收入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【209】社会保险基金支出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（1）单位往来收入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【210】医疗卫生与计划生育支出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（2）事业单位经营收入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【211】节能环保支出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（3）上年结余结转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【212】城乡社区支出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【213】农林水支出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3、捐赠收入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【214】交通运输支出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【215】资源勘探信息等支出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【216】商业服务业等支出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【217】金融支出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【219】援助其他地区支出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【220】国土海洋气象等支出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【221】住房保障支出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【222】粮油物资储备支出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【223】国有资本经营预算支出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【227】预备费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【229】其他支出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【230】转移性支出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【231】债务还本支出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【232】债务付息支出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【233】债务发行费用支出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二、结转下年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二、结转下年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7A4B"/>
    <w:rsid w:val="26CB7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2019-02-20T11:26:00Z</dcterms:created>
  <dc:creator>啸坤</dc:creator>
  <cp:lastModifiedBy>啸坤</cp:lastModifiedBy>
  <dcterms:modified xsi:type="dcterms:W3CDTF">2019-02-20T11:26:42Z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