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widowControl/>
        <w:spacing w:line="460" w:lineRule="exact"/>
        <w:jc w:val="center"/>
        <w:rPr>
          <w:rFonts w:ascii="Times New Roman" w:hAnsi="Times New Roman" w:eastAsia="方正小标宋简体" w:cs="Times New Roman"/>
          <w:b/>
          <w:sz w:val="40"/>
          <w:szCs w:val="40"/>
        </w:rPr>
      </w:pPr>
      <w:bookmarkStart w:id="1" w:name="_GoBack"/>
      <w:r>
        <w:rPr>
          <w:rFonts w:hint="eastAsia" w:ascii="Times New Roman" w:hAnsi="Times New Roman" w:eastAsia="方正小标宋简体" w:cs="Times New Roman"/>
          <w:b/>
          <w:sz w:val="40"/>
          <w:szCs w:val="40"/>
        </w:rPr>
        <w:t>轻微</w:t>
      </w:r>
      <w:r>
        <w:rPr>
          <w:rFonts w:ascii="Times New Roman" w:hAnsi="Times New Roman" w:eastAsia="方正小标宋简体" w:cs="Times New Roman"/>
          <w:b/>
          <w:sz w:val="40"/>
          <w:szCs w:val="40"/>
        </w:rPr>
        <w:t>处罚事项清单（1项）</w:t>
      </w:r>
    </w:p>
    <w:bookmarkEnd w:id="1"/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</w:p>
    <w:tbl>
      <w:tblPr>
        <w:tblStyle w:val="2"/>
        <w:tblW w:w="8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809"/>
        <w:gridCol w:w="769"/>
        <w:gridCol w:w="2325"/>
        <w:gridCol w:w="3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21" w:type="dxa"/>
            <w:tcBorders>
              <w:top w:val="thinThickSmallGap" w:color="auto" w:sz="12" w:space="0"/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9" w:type="dxa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行政处罚事项</w:t>
            </w:r>
          </w:p>
        </w:tc>
        <w:tc>
          <w:tcPr>
            <w:tcW w:w="769" w:type="dxa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2325" w:type="dxa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适用条件</w:t>
            </w:r>
          </w:p>
        </w:tc>
        <w:tc>
          <w:tcPr>
            <w:tcW w:w="3363" w:type="dxa"/>
            <w:tcBorders>
              <w:top w:val="thinThickSmallGap" w:color="auto" w:sz="1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法律依据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621" w:type="dxa"/>
            <w:tcBorders>
              <w:left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bottom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Hlk115096980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对用人单位违反法律、法规规定，扣押劳动者证件、档案或其他物品等侵犯劳动者财产权行为的处罚</w:t>
            </w:r>
            <w:bookmarkEnd w:id="0"/>
          </w:p>
        </w:tc>
        <w:tc>
          <w:tcPr>
            <w:tcW w:w="769" w:type="dxa"/>
            <w:tcBorders>
              <w:bottom w:val="thinThickSmallGap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黄石市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县级以上人力资源社会保障部门</w:t>
            </w:r>
          </w:p>
        </w:tc>
        <w:tc>
          <w:tcPr>
            <w:tcW w:w="2325" w:type="dxa"/>
            <w:tcBorders>
              <w:bottom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同时具备以下条件：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1.扣押劳动者证件、档案或其他物品时长在1 个月以内，涉及5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以下；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2.主动改正或在责令（限期）改正期限内改正，返还扣押的劳动者证件、档案或者其他物品；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主动消除或者减轻给劳动者造成的损害。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从轻处罚标准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：按照每人五百元的标准从轻处罚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bottom w:val="thinThickSmallGap" w:color="auto" w:sz="12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劳动合同法》第84条：“用人单位违反本法规定，扣押劳动者居民身份证等证件的，由劳动行政部门责令限期退还劳动者本人，并依照有关规定给予处罚。用人单位违反本法规定，以担保或者其他名义向劳动者收取财物的，由劳动行政部门责令限期退还劳动者本人，并以每人五百元以上二千元以下的标准处以罚款。劳动者依法解除或者终止劳动合同，用人单位扣押劳动者档案或者其他物品的，依照前款规定处罚。”</w:t>
            </w:r>
          </w:p>
        </w:tc>
      </w:tr>
    </w:tbl>
    <w:p>
      <w:pPr>
        <w:spacing w:line="560" w:lineRule="exact"/>
        <w:ind w:firstLine="4800" w:firstLineChars="15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rPr>
          <w:rFonts w:ascii="Times New Roman" w:hAnsi="Times New Roman" w:cs="Times New Roman"/>
        </w:rPr>
      </w:pPr>
    </w:p>
    <w:p/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NzI4NDUzYjc2NmFkOWQxN2NhNGExMzZhNGEzN2EifQ=="/>
  </w:docVars>
  <w:rsids>
    <w:rsidRoot w:val="61815C8D"/>
    <w:rsid w:val="61815C8D"/>
    <w:rsid w:val="F4EF9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2022-09-30T17:22:00Z</dcterms:created>
  <dc:creator>啸坤</dc:creator>
  <cp:lastModifiedBy>greatwall</cp:lastModifiedBy>
  <dcterms:modified xsi:type="dcterms:W3CDTF">2022-12-02T14:54:35Z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8976943F3D28483DB0A2F134BA707A55</vt:lpwstr>
  </property>
</Properties>
</file>